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EC6A1" w14:textId="77777777" w:rsidR="006A78B2" w:rsidRDefault="00936224">
      <w:pPr>
        <w:pStyle w:val="Default"/>
        <w:spacing w:after="360"/>
      </w:pPr>
      <w:r>
        <w:rPr>
          <w:b/>
          <w:bCs/>
        </w:rPr>
        <w:t>Preise</w:t>
      </w:r>
    </w:p>
    <w:p w14:paraId="6F96E627" w14:textId="77777777" w:rsidR="006A78B2" w:rsidRDefault="00936224">
      <w:pPr>
        <w:pStyle w:val="Default"/>
        <w:jc w:val="both"/>
        <w:rPr>
          <w:sz w:val="20"/>
          <w:szCs w:val="20"/>
        </w:rPr>
      </w:pPr>
      <w:r>
        <w:rPr>
          <w:sz w:val="20"/>
          <w:szCs w:val="20"/>
        </w:rPr>
        <w:t>Grundlage für die Vergütung ist folgende Formel:</w:t>
      </w:r>
    </w:p>
    <w:p w14:paraId="0B0853F1" w14:textId="77777777" w:rsidR="006A78B2" w:rsidRDefault="006A78B2">
      <w:pPr>
        <w:pStyle w:val="Default"/>
        <w:jc w:val="both"/>
        <w:rPr>
          <w:sz w:val="20"/>
          <w:szCs w:val="20"/>
        </w:rPr>
      </w:pPr>
    </w:p>
    <w:p w14:paraId="5988FC12" w14:textId="77777777" w:rsidR="006A78B2" w:rsidRDefault="00936224">
      <w:pPr>
        <w:pStyle w:val="Default"/>
        <w:jc w:val="both"/>
        <w:rPr>
          <w:sz w:val="20"/>
          <w:szCs w:val="20"/>
          <w:lang w:val="en-US"/>
        </w:rPr>
      </w:pPr>
      <w:r>
        <w:rPr>
          <w:sz w:val="20"/>
          <w:szCs w:val="20"/>
          <w:lang w:val="en-US"/>
        </w:rPr>
        <w:t xml:space="preserve">P = </w:t>
      </w:r>
      <w:r>
        <w:rPr>
          <w:sz w:val="20"/>
          <w:szCs w:val="20"/>
        </w:rPr>
        <w:t>α</w:t>
      </w:r>
      <w:r>
        <w:rPr>
          <w:sz w:val="20"/>
          <w:szCs w:val="20"/>
          <w:lang w:val="en-US"/>
        </w:rPr>
        <w:t xml:space="preserve"> * P </w:t>
      </w:r>
      <w:proofErr w:type="spellStart"/>
      <w:r>
        <w:rPr>
          <w:sz w:val="20"/>
          <w:szCs w:val="20"/>
          <w:vertAlign w:val="subscript"/>
          <w:lang w:val="en-US"/>
        </w:rPr>
        <w:t>i</w:t>
      </w:r>
      <w:proofErr w:type="spellEnd"/>
      <w:r>
        <w:rPr>
          <w:sz w:val="20"/>
          <w:szCs w:val="20"/>
          <w:vertAlign w:val="subscript"/>
          <w:lang w:val="en-US"/>
        </w:rPr>
        <w:t>, Base</w:t>
      </w:r>
      <w:r>
        <w:rPr>
          <w:sz w:val="20"/>
          <w:szCs w:val="20"/>
          <w:lang w:val="en-US"/>
        </w:rPr>
        <w:t xml:space="preserve"> + </w:t>
      </w:r>
      <w:r>
        <w:rPr>
          <w:sz w:val="20"/>
          <w:szCs w:val="20"/>
        </w:rPr>
        <w:t>β</w:t>
      </w:r>
      <w:r>
        <w:rPr>
          <w:sz w:val="20"/>
          <w:szCs w:val="20"/>
          <w:lang w:val="en-US"/>
        </w:rPr>
        <w:t xml:space="preserve"> * </w:t>
      </w:r>
      <w:r>
        <w:rPr>
          <w:sz w:val="20"/>
          <w:szCs w:val="20"/>
          <w:vertAlign w:val="subscript"/>
          <w:lang w:val="en-US"/>
        </w:rPr>
        <w:t xml:space="preserve">P </w:t>
      </w:r>
      <w:proofErr w:type="spellStart"/>
      <w:r>
        <w:rPr>
          <w:sz w:val="20"/>
          <w:szCs w:val="20"/>
          <w:vertAlign w:val="subscript"/>
          <w:lang w:val="en-US"/>
        </w:rPr>
        <w:t>i</w:t>
      </w:r>
      <w:proofErr w:type="spellEnd"/>
      <w:r>
        <w:rPr>
          <w:sz w:val="20"/>
          <w:szCs w:val="20"/>
          <w:vertAlign w:val="subscript"/>
          <w:lang w:val="en-US"/>
        </w:rPr>
        <w:t>, Peak</w:t>
      </w:r>
      <w:r>
        <w:rPr>
          <w:sz w:val="20"/>
          <w:szCs w:val="20"/>
          <w:lang w:val="en-US"/>
        </w:rPr>
        <w:t xml:space="preserve"> + D</w:t>
      </w:r>
    </w:p>
    <w:p w14:paraId="773B2F3A" w14:textId="77777777" w:rsidR="006A78B2" w:rsidRDefault="006A78B2">
      <w:pPr>
        <w:pStyle w:val="Default"/>
        <w:jc w:val="both"/>
        <w:rPr>
          <w:sz w:val="20"/>
          <w:szCs w:val="20"/>
          <w:lang w:val="en-US"/>
        </w:rPr>
      </w:pPr>
    </w:p>
    <w:p w14:paraId="348FCB77" w14:textId="77777777" w:rsidR="006A78B2" w:rsidRDefault="00936224">
      <w:pPr>
        <w:pStyle w:val="Default"/>
        <w:tabs>
          <w:tab w:val="left" w:pos="1701"/>
        </w:tabs>
        <w:ind w:firstLine="708"/>
        <w:jc w:val="both"/>
        <w:rPr>
          <w:sz w:val="20"/>
          <w:szCs w:val="20"/>
        </w:rPr>
      </w:pPr>
      <w:r>
        <w:rPr>
          <w:sz w:val="20"/>
          <w:szCs w:val="20"/>
        </w:rPr>
        <w:t>P</w:t>
      </w:r>
      <w:r>
        <w:rPr>
          <w:sz w:val="20"/>
          <w:szCs w:val="20"/>
        </w:rPr>
        <w:tab/>
        <w:t>= Stromlieferpreis in ct/kWh</w:t>
      </w:r>
    </w:p>
    <w:p w14:paraId="0B7D76C4" w14:textId="77777777" w:rsidR="006A78B2" w:rsidRDefault="00936224">
      <w:pPr>
        <w:pStyle w:val="Default"/>
        <w:tabs>
          <w:tab w:val="left" w:pos="1701"/>
        </w:tabs>
        <w:ind w:firstLine="708"/>
        <w:jc w:val="both"/>
        <w:rPr>
          <w:sz w:val="20"/>
          <w:szCs w:val="20"/>
        </w:rPr>
      </w:pPr>
      <w:r>
        <w:rPr>
          <w:sz w:val="20"/>
          <w:szCs w:val="20"/>
        </w:rPr>
        <w:t xml:space="preserve">P </w:t>
      </w:r>
      <w:r>
        <w:rPr>
          <w:sz w:val="20"/>
          <w:szCs w:val="20"/>
          <w:vertAlign w:val="subscript"/>
        </w:rPr>
        <w:t>i, Base</w:t>
      </w:r>
      <w:r>
        <w:rPr>
          <w:sz w:val="20"/>
          <w:szCs w:val="20"/>
        </w:rPr>
        <w:t xml:space="preserve"> </w:t>
      </w:r>
      <w:r>
        <w:rPr>
          <w:sz w:val="20"/>
          <w:szCs w:val="20"/>
        </w:rPr>
        <w:tab/>
        <w:t xml:space="preserve">= Preis des Börsenproduktes Base (EEX </w:t>
      </w:r>
      <w:r>
        <w:rPr>
          <w:sz w:val="23"/>
          <w:szCs w:val="23"/>
        </w:rPr>
        <w:t>German Power Futures)</w:t>
      </w:r>
      <w:r>
        <w:rPr>
          <w:sz w:val="20"/>
          <w:szCs w:val="20"/>
        </w:rPr>
        <w:t xml:space="preserve"> </w:t>
      </w:r>
    </w:p>
    <w:p w14:paraId="6741EB35" w14:textId="77777777" w:rsidR="006A78B2" w:rsidRDefault="00936224">
      <w:pPr>
        <w:pStyle w:val="Default"/>
        <w:tabs>
          <w:tab w:val="left" w:pos="1701"/>
        </w:tabs>
        <w:ind w:firstLine="708"/>
        <w:jc w:val="both"/>
        <w:rPr>
          <w:sz w:val="20"/>
          <w:szCs w:val="20"/>
        </w:rPr>
      </w:pPr>
      <w:r>
        <w:rPr>
          <w:sz w:val="20"/>
          <w:szCs w:val="20"/>
        </w:rPr>
        <w:tab/>
        <w:t xml:space="preserve">    am Stichtag i</w:t>
      </w:r>
    </w:p>
    <w:p w14:paraId="66E93E52" w14:textId="77777777" w:rsidR="006A78B2" w:rsidRDefault="00936224">
      <w:pPr>
        <w:pStyle w:val="Default"/>
        <w:tabs>
          <w:tab w:val="left" w:pos="1701"/>
        </w:tabs>
        <w:ind w:firstLine="708"/>
        <w:jc w:val="both"/>
        <w:rPr>
          <w:sz w:val="20"/>
          <w:szCs w:val="20"/>
        </w:rPr>
      </w:pPr>
      <w:r>
        <w:rPr>
          <w:sz w:val="20"/>
          <w:szCs w:val="20"/>
        </w:rPr>
        <w:t xml:space="preserve">P </w:t>
      </w:r>
      <w:r>
        <w:rPr>
          <w:sz w:val="20"/>
          <w:szCs w:val="20"/>
          <w:vertAlign w:val="subscript"/>
        </w:rPr>
        <w:t>i, Peak</w:t>
      </w:r>
      <w:r>
        <w:rPr>
          <w:sz w:val="20"/>
          <w:szCs w:val="20"/>
        </w:rPr>
        <w:tab/>
        <w:t xml:space="preserve">= Preis des Börsenproduktes Peak (EEX </w:t>
      </w:r>
      <w:r>
        <w:rPr>
          <w:sz w:val="23"/>
          <w:szCs w:val="23"/>
        </w:rPr>
        <w:t>German Power Futures)</w:t>
      </w:r>
      <w:r>
        <w:rPr>
          <w:sz w:val="20"/>
          <w:szCs w:val="20"/>
        </w:rPr>
        <w:t xml:space="preserve"> </w:t>
      </w:r>
    </w:p>
    <w:p w14:paraId="1D08C97A" w14:textId="77777777" w:rsidR="006A78B2" w:rsidRDefault="00936224">
      <w:pPr>
        <w:pStyle w:val="Default"/>
        <w:tabs>
          <w:tab w:val="left" w:pos="1701"/>
        </w:tabs>
        <w:ind w:firstLine="708"/>
        <w:jc w:val="both"/>
        <w:rPr>
          <w:sz w:val="20"/>
          <w:szCs w:val="20"/>
        </w:rPr>
      </w:pPr>
      <w:r>
        <w:rPr>
          <w:sz w:val="20"/>
          <w:szCs w:val="20"/>
        </w:rPr>
        <w:tab/>
        <w:t xml:space="preserve">    am Stichtag i</w:t>
      </w:r>
    </w:p>
    <w:p w14:paraId="75260032" w14:textId="77777777" w:rsidR="006A78B2" w:rsidRDefault="00936224">
      <w:pPr>
        <w:pStyle w:val="Default"/>
        <w:tabs>
          <w:tab w:val="left" w:pos="1701"/>
        </w:tabs>
        <w:ind w:firstLine="708"/>
        <w:jc w:val="both"/>
        <w:rPr>
          <w:sz w:val="20"/>
          <w:szCs w:val="20"/>
        </w:rPr>
      </w:pPr>
      <w:r>
        <w:rPr>
          <w:sz w:val="20"/>
          <w:szCs w:val="20"/>
        </w:rPr>
        <w:t>α</w:t>
      </w:r>
      <w:r>
        <w:rPr>
          <w:sz w:val="20"/>
          <w:szCs w:val="20"/>
        </w:rPr>
        <w:tab/>
        <w:t>= Mengenanteil Base</w:t>
      </w:r>
    </w:p>
    <w:p w14:paraId="4DE264D1" w14:textId="77777777" w:rsidR="006A78B2" w:rsidRDefault="00936224">
      <w:pPr>
        <w:pStyle w:val="Default"/>
        <w:tabs>
          <w:tab w:val="left" w:pos="1701"/>
        </w:tabs>
        <w:ind w:firstLine="708"/>
        <w:jc w:val="both"/>
        <w:rPr>
          <w:sz w:val="20"/>
          <w:szCs w:val="20"/>
        </w:rPr>
      </w:pPr>
      <w:r>
        <w:rPr>
          <w:sz w:val="20"/>
          <w:szCs w:val="20"/>
        </w:rPr>
        <w:t>β</w:t>
      </w:r>
      <w:r>
        <w:rPr>
          <w:sz w:val="20"/>
          <w:szCs w:val="20"/>
        </w:rPr>
        <w:tab/>
        <w:t>= Mengenanteil Peak</w:t>
      </w:r>
    </w:p>
    <w:p w14:paraId="01427A13" w14:textId="77777777" w:rsidR="006A78B2" w:rsidRDefault="00936224">
      <w:pPr>
        <w:pStyle w:val="Default"/>
        <w:tabs>
          <w:tab w:val="left" w:pos="1701"/>
        </w:tabs>
        <w:ind w:firstLine="708"/>
        <w:jc w:val="both"/>
        <w:rPr>
          <w:sz w:val="20"/>
          <w:szCs w:val="20"/>
        </w:rPr>
      </w:pPr>
      <w:r>
        <w:rPr>
          <w:sz w:val="20"/>
          <w:szCs w:val="20"/>
        </w:rPr>
        <w:t>D</w:t>
      </w:r>
      <w:r>
        <w:rPr>
          <w:sz w:val="20"/>
          <w:szCs w:val="20"/>
        </w:rPr>
        <w:tab/>
        <w:t>= Dienstleistungspreis in ct/kWh, der Kosten für die interne Abwicklung der</w:t>
      </w:r>
    </w:p>
    <w:p w14:paraId="6E51DDB4" w14:textId="77777777" w:rsidR="006A78B2" w:rsidRDefault="00936224">
      <w:pPr>
        <w:pStyle w:val="Default"/>
        <w:tabs>
          <w:tab w:val="left" w:pos="1843"/>
        </w:tabs>
        <w:ind w:left="1843"/>
        <w:jc w:val="both"/>
        <w:rPr>
          <w:sz w:val="20"/>
          <w:szCs w:val="20"/>
        </w:rPr>
      </w:pPr>
      <w:r>
        <w:rPr>
          <w:sz w:val="20"/>
          <w:szCs w:val="20"/>
        </w:rPr>
        <w:t>Strombelieferung, d.h. Kosten für Beratung, Verwaltung, Vertrieb etc. beinhaltet</w:t>
      </w:r>
    </w:p>
    <w:p w14:paraId="55B32213" w14:textId="77777777" w:rsidR="006A78B2" w:rsidRDefault="006A78B2">
      <w:pPr>
        <w:pStyle w:val="Default"/>
        <w:jc w:val="both"/>
        <w:rPr>
          <w:sz w:val="20"/>
          <w:szCs w:val="20"/>
        </w:rPr>
      </w:pPr>
    </w:p>
    <w:p w14:paraId="542F16A2" w14:textId="08AD7A5A" w:rsidR="006A78B2" w:rsidRDefault="00220F73">
      <w:pPr>
        <w:pStyle w:val="Default"/>
        <w:jc w:val="both"/>
        <w:rPr>
          <w:sz w:val="20"/>
          <w:szCs w:val="20"/>
        </w:rPr>
      </w:pPr>
      <w:r>
        <w:rPr>
          <w:sz w:val="20"/>
          <w:szCs w:val="20"/>
        </w:rPr>
        <w:t>Die</w:t>
      </w:r>
      <w:r w:rsidR="00936224">
        <w:rPr>
          <w:sz w:val="20"/>
          <w:szCs w:val="20"/>
        </w:rPr>
        <w:t xml:space="preserve"> Parameter der Formel sind</w:t>
      </w:r>
      <w:r w:rsidR="008A04A3">
        <w:rPr>
          <w:sz w:val="20"/>
          <w:szCs w:val="20"/>
        </w:rPr>
        <w:t xml:space="preserve"> in d</w:t>
      </w:r>
      <w:r>
        <w:rPr>
          <w:sz w:val="20"/>
          <w:szCs w:val="20"/>
        </w:rPr>
        <w:t>i</w:t>
      </w:r>
      <w:r w:rsidR="008A04A3">
        <w:rPr>
          <w:sz w:val="20"/>
          <w:szCs w:val="20"/>
        </w:rPr>
        <w:t>e Tabelle</w:t>
      </w:r>
      <w:r w:rsidR="00936224">
        <w:rPr>
          <w:sz w:val="20"/>
          <w:szCs w:val="20"/>
        </w:rPr>
        <w:t xml:space="preserve"> </w:t>
      </w:r>
      <w:r>
        <w:rPr>
          <w:sz w:val="20"/>
          <w:szCs w:val="20"/>
        </w:rPr>
        <w:t>einzutragen</w:t>
      </w:r>
      <w:r w:rsidR="00936224">
        <w:rPr>
          <w:sz w:val="20"/>
          <w:szCs w:val="20"/>
        </w:rPr>
        <w:t xml:space="preserve"> und für die </w:t>
      </w:r>
      <w:r>
        <w:rPr>
          <w:sz w:val="20"/>
          <w:szCs w:val="20"/>
        </w:rPr>
        <w:t>genannten</w:t>
      </w:r>
      <w:r w:rsidR="00936224">
        <w:rPr>
          <w:sz w:val="20"/>
          <w:szCs w:val="20"/>
        </w:rPr>
        <w:t xml:space="preserve"> </w:t>
      </w:r>
      <w:r>
        <w:rPr>
          <w:sz w:val="20"/>
          <w:szCs w:val="20"/>
        </w:rPr>
        <w:t>Jahre</w:t>
      </w:r>
      <w:r w:rsidR="00936224">
        <w:rPr>
          <w:sz w:val="20"/>
          <w:szCs w:val="20"/>
        </w:rPr>
        <w:t xml:space="preserve"> vereinbart:</w:t>
      </w:r>
    </w:p>
    <w:p w14:paraId="431C2AC8" w14:textId="77777777" w:rsidR="00C41B84" w:rsidRDefault="00C41B84">
      <w:pPr>
        <w:pStyle w:val="Default"/>
        <w:jc w:val="both"/>
        <w:rPr>
          <w:sz w:val="20"/>
          <w:szCs w:val="20"/>
        </w:rPr>
        <w:sectPr w:rsidR="00C41B84">
          <w:headerReference w:type="default" r:id="rId7"/>
          <w:footerReference w:type="default" r:id="rId8"/>
          <w:pgSz w:w="11906" w:h="16838"/>
          <w:pgMar w:top="1418" w:right="1361" w:bottom="1418" w:left="1701" w:header="709" w:footer="709" w:gutter="0"/>
          <w:cols w:space="708"/>
          <w:docGrid w:linePitch="360"/>
        </w:sectPr>
      </w:pPr>
    </w:p>
    <w:p w14:paraId="5BC2A580" w14:textId="13B51E2A" w:rsidR="008A04A3" w:rsidRDefault="008A04A3">
      <w:pPr>
        <w:pStyle w:val="Default"/>
        <w:jc w:val="both"/>
        <w:rPr>
          <w:sz w:val="20"/>
          <w:szCs w:val="20"/>
        </w:rPr>
      </w:pPr>
    </w:p>
    <w:tbl>
      <w:tblPr>
        <w:tblStyle w:val="Tabellenraster"/>
        <w:tblpPr w:leftFromText="141" w:rightFromText="141" w:vertAnchor="text" w:horzAnchor="margin" w:tblpXSpec="center" w:tblpY="216"/>
        <w:tblW w:w="0" w:type="auto"/>
        <w:tblLook w:val="04A0" w:firstRow="1" w:lastRow="0" w:firstColumn="1" w:lastColumn="0" w:noHBand="0" w:noVBand="1"/>
      </w:tblPr>
      <w:tblGrid>
        <w:gridCol w:w="2583"/>
        <w:gridCol w:w="1098"/>
        <w:gridCol w:w="1098"/>
        <w:gridCol w:w="992"/>
        <w:gridCol w:w="992"/>
        <w:gridCol w:w="872"/>
      </w:tblGrid>
      <w:tr w:rsidR="008A04A3" w14:paraId="25F084C3" w14:textId="77777777" w:rsidTr="00153FCE">
        <w:tc>
          <w:tcPr>
            <w:tcW w:w="0" w:type="auto"/>
          </w:tcPr>
          <w:p w14:paraId="09142327" w14:textId="39316A9A" w:rsidR="008A04A3" w:rsidRDefault="00220F73" w:rsidP="00153FCE">
            <w:pPr>
              <w:pStyle w:val="Default"/>
              <w:tabs>
                <w:tab w:val="left" w:pos="567"/>
                <w:tab w:val="left" w:pos="5670"/>
              </w:tabs>
              <w:spacing w:after="40"/>
              <w:jc w:val="both"/>
              <w:rPr>
                <w:b/>
                <w:sz w:val="20"/>
                <w:szCs w:val="20"/>
              </w:rPr>
            </w:pPr>
            <w:r>
              <w:rPr>
                <w:b/>
                <w:sz w:val="20"/>
                <w:szCs w:val="20"/>
              </w:rPr>
              <w:t>Kalkulation Angebot:</w:t>
            </w:r>
          </w:p>
        </w:tc>
        <w:tc>
          <w:tcPr>
            <w:tcW w:w="1098" w:type="dxa"/>
          </w:tcPr>
          <w:p w14:paraId="64954F74" w14:textId="5B6258A2" w:rsidR="008A04A3" w:rsidRPr="008A04A3" w:rsidRDefault="008A04A3" w:rsidP="00153FCE">
            <w:pPr>
              <w:pStyle w:val="Default"/>
              <w:tabs>
                <w:tab w:val="left" w:pos="567"/>
                <w:tab w:val="left" w:pos="5670"/>
              </w:tabs>
              <w:spacing w:after="40"/>
              <w:jc w:val="center"/>
              <w:rPr>
                <w:b/>
                <w:sz w:val="20"/>
                <w:szCs w:val="20"/>
                <w:highlight w:val="yellow"/>
              </w:rPr>
            </w:pPr>
            <w:r w:rsidRPr="008A04A3">
              <w:rPr>
                <w:b/>
                <w:sz w:val="20"/>
                <w:szCs w:val="20"/>
                <w:highlight w:val="yellow"/>
              </w:rPr>
              <w:t>10.02.26</w:t>
            </w:r>
          </w:p>
        </w:tc>
        <w:tc>
          <w:tcPr>
            <w:tcW w:w="1098" w:type="dxa"/>
          </w:tcPr>
          <w:p w14:paraId="4F160F7F" w14:textId="77777777" w:rsidR="008A04A3" w:rsidRDefault="008A04A3" w:rsidP="00153FCE">
            <w:pPr>
              <w:pStyle w:val="Default"/>
              <w:tabs>
                <w:tab w:val="left" w:pos="567"/>
                <w:tab w:val="left" w:pos="5670"/>
              </w:tabs>
              <w:spacing w:after="40"/>
              <w:jc w:val="center"/>
              <w:rPr>
                <w:b/>
                <w:sz w:val="20"/>
                <w:szCs w:val="20"/>
              </w:rPr>
            </w:pPr>
          </w:p>
        </w:tc>
        <w:tc>
          <w:tcPr>
            <w:tcW w:w="992" w:type="dxa"/>
          </w:tcPr>
          <w:p w14:paraId="1C5D6CBB" w14:textId="77777777" w:rsidR="008A04A3" w:rsidRDefault="008A04A3" w:rsidP="00153FCE">
            <w:pPr>
              <w:pStyle w:val="Default"/>
              <w:tabs>
                <w:tab w:val="left" w:pos="567"/>
                <w:tab w:val="left" w:pos="5670"/>
              </w:tabs>
              <w:spacing w:after="40"/>
              <w:jc w:val="center"/>
              <w:rPr>
                <w:b/>
                <w:sz w:val="20"/>
                <w:szCs w:val="20"/>
              </w:rPr>
            </w:pPr>
          </w:p>
        </w:tc>
        <w:tc>
          <w:tcPr>
            <w:tcW w:w="992" w:type="dxa"/>
          </w:tcPr>
          <w:p w14:paraId="4721037F" w14:textId="77777777" w:rsidR="008A04A3" w:rsidRDefault="008A04A3" w:rsidP="00153FCE">
            <w:pPr>
              <w:pStyle w:val="Default"/>
              <w:tabs>
                <w:tab w:val="left" w:pos="567"/>
                <w:tab w:val="left" w:pos="5670"/>
              </w:tabs>
              <w:spacing w:after="40"/>
              <w:jc w:val="center"/>
              <w:rPr>
                <w:b/>
                <w:sz w:val="20"/>
                <w:szCs w:val="20"/>
              </w:rPr>
            </w:pPr>
          </w:p>
        </w:tc>
        <w:tc>
          <w:tcPr>
            <w:tcW w:w="872" w:type="dxa"/>
          </w:tcPr>
          <w:p w14:paraId="588FF680" w14:textId="77777777" w:rsidR="008A04A3" w:rsidRDefault="008A04A3" w:rsidP="00153FCE">
            <w:pPr>
              <w:pStyle w:val="Default"/>
              <w:tabs>
                <w:tab w:val="left" w:pos="567"/>
                <w:tab w:val="left" w:pos="5670"/>
              </w:tabs>
              <w:spacing w:after="40"/>
              <w:jc w:val="both"/>
              <w:rPr>
                <w:b/>
                <w:sz w:val="20"/>
                <w:szCs w:val="20"/>
              </w:rPr>
            </w:pPr>
          </w:p>
        </w:tc>
      </w:tr>
      <w:tr w:rsidR="00153FCE" w14:paraId="218E318F" w14:textId="77777777" w:rsidTr="00153FCE">
        <w:tc>
          <w:tcPr>
            <w:tcW w:w="0" w:type="auto"/>
          </w:tcPr>
          <w:p w14:paraId="30AF1825" w14:textId="77777777" w:rsidR="00153FCE" w:rsidRDefault="00153FCE" w:rsidP="00153FCE">
            <w:pPr>
              <w:pStyle w:val="Default"/>
              <w:tabs>
                <w:tab w:val="left" w:pos="567"/>
                <w:tab w:val="left" w:pos="5670"/>
              </w:tabs>
              <w:spacing w:after="40"/>
              <w:jc w:val="both"/>
              <w:rPr>
                <w:b/>
                <w:sz w:val="20"/>
                <w:szCs w:val="20"/>
              </w:rPr>
            </w:pPr>
            <w:r>
              <w:rPr>
                <w:b/>
                <w:sz w:val="20"/>
                <w:szCs w:val="20"/>
              </w:rPr>
              <w:t>Lieferjahr:</w:t>
            </w:r>
          </w:p>
        </w:tc>
        <w:tc>
          <w:tcPr>
            <w:tcW w:w="1098" w:type="dxa"/>
          </w:tcPr>
          <w:p w14:paraId="30BD6521" w14:textId="1A30A99B" w:rsidR="00153FCE" w:rsidRPr="008A04A3" w:rsidRDefault="00220F73" w:rsidP="00153FCE">
            <w:pPr>
              <w:pStyle w:val="Default"/>
              <w:tabs>
                <w:tab w:val="left" w:pos="567"/>
                <w:tab w:val="left" w:pos="5670"/>
              </w:tabs>
              <w:spacing w:after="40"/>
              <w:jc w:val="center"/>
              <w:rPr>
                <w:b/>
                <w:sz w:val="20"/>
                <w:szCs w:val="20"/>
                <w:highlight w:val="yellow"/>
              </w:rPr>
            </w:pPr>
            <w:r>
              <w:rPr>
                <w:b/>
                <w:sz w:val="20"/>
                <w:szCs w:val="20"/>
                <w:highlight w:val="yellow"/>
              </w:rPr>
              <w:t>2027</w:t>
            </w:r>
          </w:p>
        </w:tc>
        <w:tc>
          <w:tcPr>
            <w:tcW w:w="1098" w:type="dxa"/>
          </w:tcPr>
          <w:p w14:paraId="483E08FA" w14:textId="38DA7B6A" w:rsidR="00153FCE" w:rsidRDefault="00153FCE" w:rsidP="00153FCE">
            <w:pPr>
              <w:pStyle w:val="Default"/>
              <w:tabs>
                <w:tab w:val="left" w:pos="567"/>
                <w:tab w:val="left" w:pos="5670"/>
              </w:tabs>
              <w:spacing w:after="40"/>
              <w:jc w:val="center"/>
              <w:rPr>
                <w:b/>
                <w:sz w:val="20"/>
                <w:szCs w:val="20"/>
              </w:rPr>
            </w:pPr>
            <w:r>
              <w:rPr>
                <w:b/>
                <w:sz w:val="20"/>
                <w:szCs w:val="20"/>
              </w:rPr>
              <w:t>2027</w:t>
            </w:r>
          </w:p>
        </w:tc>
        <w:tc>
          <w:tcPr>
            <w:tcW w:w="992" w:type="dxa"/>
          </w:tcPr>
          <w:p w14:paraId="0EEB27E1" w14:textId="77777777" w:rsidR="00153FCE" w:rsidRDefault="00153FCE" w:rsidP="00153FCE">
            <w:pPr>
              <w:pStyle w:val="Default"/>
              <w:tabs>
                <w:tab w:val="left" w:pos="567"/>
                <w:tab w:val="left" w:pos="5670"/>
              </w:tabs>
              <w:spacing w:after="40"/>
              <w:jc w:val="center"/>
              <w:rPr>
                <w:b/>
                <w:sz w:val="20"/>
                <w:szCs w:val="20"/>
              </w:rPr>
            </w:pPr>
            <w:r>
              <w:rPr>
                <w:b/>
                <w:sz w:val="20"/>
                <w:szCs w:val="20"/>
              </w:rPr>
              <w:t>2028</w:t>
            </w:r>
          </w:p>
        </w:tc>
        <w:tc>
          <w:tcPr>
            <w:tcW w:w="992" w:type="dxa"/>
          </w:tcPr>
          <w:p w14:paraId="6E659A08" w14:textId="77777777" w:rsidR="00153FCE" w:rsidRDefault="00153FCE" w:rsidP="00153FCE">
            <w:pPr>
              <w:pStyle w:val="Default"/>
              <w:tabs>
                <w:tab w:val="left" w:pos="567"/>
                <w:tab w:val="left" w:pos="5670"/>
              </w:tabs>
              <w:spacing w:after="40"/>
              <w:jc w:val="center"/>
              <w:rPr>
                <w:b/>
                <w:sz w:val="20"/>
                <w:szCs w:val="20"/>
              </w:rPr>
            </w:pPr>
            <w:r>
              <w:rPr>
                <w:b/>
                <w:sz w:val="20"/>
                <w:szCs w:val="20"/>
              </w:rPr>
              <w:t>2029</w:t>
            </w:r>
          </w:p>
        </w:tc>
        <w:tc>
          <w:tcPr>
            <w:tcW w:w="872" w:type="dxa"/>
          </w:tcPr>
          <w:p w14:paraId="4AD3270E" w14:textId="77777777" w:rsidR="00153FCE" w:rsidRDefault="00153FCE" w:rsidP="00153FCE">
            <w:pPr>
              <w:pStyle w:val="Default"/>
              <w:tabs>
                <w:tab w:val="left" w:pos="567"/>
                <w:tab w:val="left" w:pos="5670"/>
              </w:tabs>
              <w:spacing w:after="40"/>
              <w:jc w:val="both"/>
              <w:rPr>
                <w:b/>
                <w:sz w:val="20"/>
                <w:szCs w:val="20"/>
              </w:rPr>
            </w:pPr>
          </w:p>
        </w:tc>
      </w:tr>
      <w:tr w:rsidR="00153FCE" w14:paraId="26EF00A4" w14:textId="77777777" w:rsidTr="00153FCE">
        <w:tc>
          <w:tcPr>
            <w:tcW w:w="0" w:type="auto"/>
          </w:tcPr>
          <w:p w14:paraId="670FFCE2" w14:textId="77777777" w:rsidR="00153FCE" w:rsidRDefault="00153FCE" w:rsidP="00153FCE">
            <w:pPr>
              <w:pStyle w:val="Default"/>
              <w:tabs>
                <w:tab w:val="left" w:pos="567"/>
                <w:tab w:val="left" w:pos="5670"/>
              </w:tabs>
              <w:spacing w:after="40"/>
              <w:jc w:val="both"/>
              <w:rPr>
                <w:b/>
                <w:sz w:val="20"/>
                <w:szCs w:val="20"/>
              </w:rPr>
            </w:pPr>
            <w:r>
              <w:rPr>
                <w:b/>
                <w:sz w:val="20"/>
                <w:szCs w:val="20"/>
              </w:rPr>
              <w:t>α (Mengenanteil Base):</w:t>
            </w:r>
          </w:p>
        </w:tc>
        <w:tc>
          <w:tcPr>
            <w:tcW w:w="1098" w:type="dxa"/>
          </w:tcPr>
          <w:p w14:paraId="066135D5" w14:textId="0F1A2B1C" w:rsidR="00153FCE" w:rsidRPr="008A04A3" w:rsidRDefault="00153FCE" w:rsidP="00153FCE">
            <w:pPr>
              <w:pStyle w:val="Default"/>
              <w:tabs>
                <w:tab w:val="left" w:pos="567"/>
                <w:tab w:val="left" w:pos="5670"/>
              </w:tabs>
              <w:spacing w:after="40"/>
              <w:jc w:val="both"/>
              <w:rPr>
                <w:b/>
                <w:sz w:val="20"/>
                <w:szCs w:val="20"/>
                <w:highlight w:val="yellow"/>
              </w:rPr>
            </w:pPr>
          </w:p>
        </w:tc>
        <w:tc>
          <w:tcPr>
            <w:tcW w:w="1098" w:type="dxa"/>
          </w:tcPr>
          <w:p w14:paraId="6B65644F" w14:textId="6CDD71BC" w:rsidR="00153FCE" w:rsidRDefault="00153FCE" w:rsidP="00153FCE">
            <w:pPr>
              <w:pStyle w:val="Default"/>
              <w:tabs>
                <w:tab w:val="left" w:pos="567"/>
                <w:tab w:val="left" w:pos="5670"/>
              </w:tabs>
              <w:spacing w:after="40"/>
              <w:jc w:val="both"/>
              <w:rPr>
                <w:b/>
                <w:sz w:val="20"/>
                <w:szCs w:val="20"/>
              </w:rPr>
            </w:pPr>
          </w:p>
        </w:tc>
        <w:tc>
          <w:tcPr>
            <w:tcW w:w="992" w:type="dxa"/>
          </w:tcPr>
          <w:p w14:paraId="2BC60E5B" w14:textId="77777777" w:rsidR="00153FCE" w:rsidRDefault="00153FCE" w:rsidP="00153FCE">
            <w:pPr>
              <w:pStyle w:val="Default"/>
              <w:tabs>
                <w:tab w:val="left" w:pos="567"/>
                <w:tab w:val="left" w:pos="5670"/>
              </w:tabs>
              <w:spacing w:after="40"/>
              <w:jc w:val="both"/>
              <w:rPr>
                <w:b/>
                <w:sz w:val="20"/>
                <w:szCs w:val="20"/>
              </w:rPr>
            </w:pPr>
          </w:p>
        </w:tc>
        <w:tc>
          <w:tcPr>
            <w:tcW w:w="992" w:type="dxa"/>
          </w:tcPr>
          <w:p w14:paraId="68218303" w14:textId="77777777" w:rsidR="00153FCE" w:rsidRDefault="00153FCE" w:rsidP="00153FCE">
            <w:pPr>
              <w:pStyle w:val="Default"/>
              <w:tabs>
                <w:tab w:val="left" w:pos="567"/>
                <w:tab w:val="left" w:pos="5670"/>
              </w:tabs>
              <w:spacing w:after="40"/>
              <w:jc w:val="both"/>
              <w:rPr>
                <w:b/>
                <w:sz w:val="20"/>
                <w:szCs w:val="20"/>
              </w:rPr>
            </w:pPr>
          </w:p>
        </w:tc>
        <w:tc>
          <w:tcPr>
            <w:tcW w:w="872" w:type="dxa"/>
          </w:tcPr>
          <w:p w14:paraId="68ABEEA4" w14:textId="77777777" w:rsidR="00153FCE" w:rsidRDefault="00153FCE" w:rsidP="00153FCE">
            <w:pPr>
              <w:pStyle w:val="Default"/>
              <w:tabs>
                <w:tab w:val="left" w:pos="567"/>
                <w:tab w:val="left" w:pos="5670"/>
              </w:tabs>
              <w:spacing w:after="40"/>
              <w:jc w:val="center"/>
              <w:rPr>
                <w:b/>
                <w:sz w:val="20"/>
                <w:szCs w:val="20"/>
              </w:rPr>
            </w:pPr>
            <w:r>
              <w:rPr>
                <w:b/>
                <w:sz w:val="20"/>
                <w:szCs w:val="20"/>
              </w:rPr>
              <w:t>%</w:t>
            </w:r>
          </w:p>
        </w:tc>
      </w:tr>
      <w:tr w:rsidR="00153FCE" w14:paraId="7E21E9EE" w14:textId="77777777" w:rsidTr="00153FCE">
        <w:tc>
          <w:tcPr>
            <w:tcW w:w="0" w:type="auto"/>
          </w:tcPr>
          <w:p w14:paraId="39F85F1B" w14:textId="77777777" w:rsidR="00153FCE" w:rsidRDefault="00153FCE" w:rsidP="00153FCE">
            <w:pPr>
              <w:pStyle w:val="Default"/>
              <w:tabs>
                <w:tab w:val="left" w:pos="567"/>
                <w:tab w:val="left" w:pos="5670"/>
              </w:tabs>
              <w:spacing w:after="40"/>
              <w:jc w:val="both"/>
              <w:rPr>
                <w:b/>
                <w:sz w:val="20"/>
                <w:szCs w:val="20"/>
              </w:rPr>
            </w:pPr>
            <w:r>
              <w:rPr>
                <w:b/>
                <w:sz w:val="20"/>
                <w:szCs w:val="20"/>
              </w:rPr>
              <w:t>β (Mengenanteil Peak):</w:t>
            </w:r>
          </w:p>
        </w:tc>
        <w:tc>
          <w:tcPr>
            <w:tcW w:w="1098" w:type="dxa"/>
          </w:tcPr>
          <w:p w14:paraId="6AA9AD78" w14:textId="77777777" w:rsidR="00153FCE" w:rsidRPr="008A04A3" w:rsidRDefault="00153FCE" w:rsidP="00153FCE">
            <w:pPr>
              <w:pStyle w:val="Default"/>
              <w:tabs>
                <w:tab w:val="left" w:pos="567"/>
                <w:tab w:val="left" w:pos="5670"/>
              </w:tabs>
              <w:spacing w:after="40"/>
              <w:jc w:val="both"/>
              <w:rPr>
                <w:b/>
                <w:sz w:val="20"/>
                <w:szCs w:val="20"/>
                <w:highlight w:val="yellow"/>
              </w:rPr>
            </w:pPr>
          </w:p>
        </w:tc>
        <w:tc>
          <w:tcPr>
            <w:tcW w:w="1098" w:type="dxa"/>
          </w:tcPr>
          <w:p w14:paraId="08656C3F" w14:textId="5A5ADBA8" w:rsidR="00153FCE" w:rsidRDefault="00153FCE" w:rsidP="00153FCE">
            <w:pPr>
              <w:pStyle w:val="Default"/>
              <w:tabs>
                <w:tab w:val="left" w:pos="567"/>
                <w:tab w:val="left" w:pos="5670"/>
              </w:tabs>
              <w:spacing w:after="40"/>
              <w:jc w:val="both"/>
              <w:rPr>
                <w:b/>
                <w:sz w:val="20"/>
                <w:szCs w:val="20"/>
              </w:rPr>
            </w:pPr>
          </w:p>
        </w:tc>
        <w:tc>
          <w:tcPr>
            <w:tcW w:w="992" w:type="dxa"/>
          </w:tcPr>
          <w:p w14:paraId="35F673C5" w14:textId="77777777" w:rsidR="00153FCE" w:rsidRDefault="00153FCE" w:rsidP="00153FCE">
            <w:pPr>
              <w:pStyle w:val="Default"/>
              <w:tabs>
                <w:tab w:val="left" w:pos="567"/>
                <w:tab w:val="left" w:pos="5670"/>
              </w:tabs>
              <w:spacing w:after="40"/>
              <w:jc w:val="both"/>
              <w:rPr>
                <w:b/>
                <w:sz w:val="20"/>
                <w:szCs w:val="20"/>
              </w:rPr>
            </w:pPr>
          </w:p>
        </w:tc>
        <w:tc>
          <w:tcPr>
            <w:tcW w:w="992" w:type="dxa"/>
          </w:tcPr>
          <w:p w14:paraId="4AC41FF6" w14:textId="77777777" w:rsidR="00153FCE" w:rsidRDefault="00153FCE" w:rsidP="00153FCE">
            <w:pPr>
              <w:pStyle w:val="Default"/>
              <w:tabs>
                <w:tab w:val="left" w:pos="567"/>
                <w:tab w:val="left" w:pos="5670"/>
              </w:tabs>
              <w:spacing w:after="40"/>
              <w:jc w:val="both"/>
              <w:rPr>
                <w:b/>
                <w:sz w:val="20"/>
                <w:szCs w:val="20"/>
              </w:rPr>
            </w:pPr>
          </w:p>
        </w:tc>
        <w:tc>
          <w:tcPr>
            <w:tcW w:w="872" w:type="dxa"/>
          </w:tcPr>
          <w:p w14:paraId="610B0093" w14:textId="77777777" w:rsidR="00153FCE" w:rsidRDefault="00153FCE" w:rsidP="00153FCE">
            <w:pPr>
              <w:pStyle w:val="Default"/>
              <w:tabs>
                <w:tab w:val="left" w:pos="567"/>
                <w:tab w:val="left" w:pos="5670"/>
              </w:tabs>
              <w:spacing w:after="40"/>
              <w:jc w:val="center"/>
              <w:rPr>
                <w:b/>
                <w:sz w:val="20"/>
                <w:szCs w:val="20"/>
              </w:rPr>
            </w:pPr>
            <w:r>
              <w:rPr>
                <w:b/>
                <w:sz w:val="20"/>
                <w:szCs w:val="20"/>
              </w:rPr>
              <w:t>%</w:t>
            </w:r>
          </w:p>
        </w:tc>
      </w:tr>
      <w:tr w:rsidR="00153FCE" w14:paraId="474F7828" w14:textId="77777777" w:rsidTr="00153FCE">
        <w:tc>
          <w:tcPr>
            <w:tcW w:w="0" w:type="auto"/>
          </w:tcPr>
          <w:p w14:paraId="76184A31" w14:textId="77777777" w:rsidR="00153FCE" w:rsidRDefault="00153FCE" w:rsidP="00153FCE">
            <w:pPr>
              <w:pStyle w:val="Default"/>
              <w:tabs>
                <w:tab w:val="left" w:pos="567"/>
                <w:tab w:val="left" w:pos="5670"/>
              </w:tabs>
              <w:spacing w:after="40"/>
              <w:jc w:val="both"/>
              <w:rPr>
                <w:b/>
                <w:sz w:val="20"/>
                <w:szCs w:val="20"/>
              </w:rPr>
            </w:pPr>
            <w:r>
              <w:rPr>
                <w:b/>
                <w:sz w:val="20"/>
                <w:szCs w:val="20"/>
              </w:rPr>
              <w:t>D (Dienstleistungspreis):</w:t>
            </w:r>
          </w:p>
        </w:tc>
        <w:tc>
          <w:tcPr>
            <w:tcW w:w="1098" w:type="dxa"/>
          </w:tcPr>
          <w:p w14:paraId="25A62786" w14:textId="77777777" w:rsidR="00153FCE" w:rsidRPr="008A04A3" w:rsidRDefault="00153FCE" w:rsidP="00153FCE">
            <w:pPr>
              <w:pStyle w:val="Default"/>
              <w:tabs>
                <w:tab w:val="left" w:pos="567"/>
                <w:tab w:val="left" w:pos="5670"/>
              </w:tabs>
              <w:spacing w:after="40"/>
              <w:jc w:val="both"/>
              <w:rPr>
                <w:b/>
                <w:sz w:val="20"/>
                <w:szCs w:val="20"/>
                <w:highlight w:val="yellow"/>
              </w:rPr>
            </w:pPr>
          </w:p>
        </w:tc>
        <w:tc>
          <w:tcPr>
            <w:tcW w:w="1098" w:type="dxa"/>
          </w:tcPr>
          <w:p w14:paraId="1CE32806" w14:textId="0A70D4F3" w:rsidR="00153FCE" w:rsidRDefault="00153FCE" w:rsidP="00153FCE">
            <w:pPr>
              <w:pStyle w:val="Default"/>
              <w:tabs>
                <w:tab w:val="left" w:pos="567"/>
                <w:tab w:val="left" w:pos="5670"/>
              </w:tabs>
              <w:spacing w:after="40"/>
              <w:jc w:val="both"/>
              <w:rPr>
                <w:b/>
                <w:sz w:val="20"/>
                <w:szCs w:val="20"/>
              </w:rPr>
            </w:pPr>
          </w:p>
        </w:tc>
        <w:tc>
          <w:tcPr>
            <w:tcW w:w="992" w:type="dxa"/>
          </w:tcPr>
          <w:p w14:paraId="51832926" w14:textId="77777777" w:rsidR="00153FCE" w:rsidRDefault="00153FCE" w:rsidP="00153FCE">
            <w:pPr>
              <w:pStyle w:val="Default"/>
              <w:tabs>
                <w:tab w:val="left" w:pos="567"/>
                <w:tab w:val="left" w:pos="5670"/>
              </w:tabs>
              <w:spacing w:after="40"/>
              <w:jc w:val="both"/>
              <w:rPr>
                <w:b/>
                <w:sz w:val="20"/>
                <w:szCs w:val="20"/>
              </w:rPr>
            </w:pPr>
          </w:p>
        </w:tc>
        <w:tc>
          <w:tcPr>
            <w:tcW w:w="992" w:type="dxa"/>
          </w:tcPr>
          <w:p w14:paraId="2FCE6EC6" w14:textId="77777777" w:rsidR="00153FCE" w:rsidRDefault="00153FCE" w:rsidP="00153FCE">
            <w:pPr>
              <w:pStyle w:val="Default"/>
              <w:tabs>
                <w:tab w:val="left" w:pos="567"/>
                <w:tab w:val="left" w:pos="5670"/>
              </w:tabs>
              <w:spacing w:after="40"/>
              <w:jc w:val="both"/>
              <w:rPr>
                <w:b/>
                <w:sz w:val="20"/>
                <w:szCs w:val="20"/>
              </w:rPr>
            </w:pPr>
          </w:p>
        </w:tc>
        <w:tc>
          <w:tcPr>
            <w:tcW w:w="872" w:type="dxa"/>
          </w:tcPr>
          <w:p w14:paraId="1D7C5ED9" w14:textId="77777777" w:rsidR="00153FCE" w:rsidRDefault="00153FCE" w:rsidP="00153FCE">
            <w:pPr>
              <w:pStyle w:val="Default"/>
              <w:tabs>
                <w:tab w:val="left" w:pos="567"/>
                <w:tab w:val="left" w:pos="5670"/>
              </w:tabs>
              <w:spacing w:after="40"/>
              <w:jc w:val="center"/>
              <w:rPr>
                <w:b/>
                <w:sz w:val="20"/>
                <w:szCs w:val="20"/>
              </w:rPr>
            </w:pPr>
            <w:r>
              <w:rPr>
                <w:b/>
                <w:sz w:val="20"/>
                <w:szCs w:val="20"/>
              </w:rPr>
              <w:t>ct/kWh</w:t>
            </w:r>
          </w:p>
        </w:tc>
      </w:tr>
    </w:tbl>
    <w:p w14:paraId="443346DE" w14:textId="77777777" w:rsidR="00153FCE" w:rsidRDefault="00153FCE" w:rsidP="00544C5A">
      <w:pPr>
        <w:pStyle w:val="Default"/>
        <w:tabs>
          <w:tab w:val="left" w:pos="567"/>
          <w:tab w:val="left" w:pos="5670"/>
        </w:tabs>
        <w:spacing w:after="40"/>
        <w:jc w:val="both"/>
        <w:rPr>
          <w:b/>
          <w:sz w:val="20"/>
          <w:szCs w:val="20"/>
        </w:rPr>
      </w:pPr>
    </w:p>
    <w:p w14:paraId="25406C9C" w14:textId="640850A4" w:rsidR="006A78B2" w:rsidRDefault="00EF21C1" w:rsidP="00544C5A">
      <w:pPr>
        <w:pStyle w:val="Default"/>
        <w:tabs>
          <w:tab w:val="left" w:pos="567"/>
          <w:tab w:val="left" w:pos="5670"/>
        </w:tabs>
        <w:spacing w:after="40"/>
        <w:jc w:val="both"/>
        <w:rPr>
          <w:b/>
          <w:sz w:val="20"/>
          <w:szCs w:val="20"/>
        </w:rPr>
      </w:pPr>
      <w:r>
        <w:rPr>
          <w:b/>
          <w:sz w:val="20"/>
          <w:szCs w:val="20"/>
        </w:rPr>
        <w:tab/>
      </w:r>
    </w:p>
    <w:p w14:paraId="33937251" w14:textId="77777777" w:rsidR="006A78B2" w:rsidRDefault="006A78B2">
      <w:pPr>
        <w:pStyle w:val="Default"/>
        <w:jc w:val="both"/>
        <w:rPr>
          <w:sz w:val="20"/>
          <w:szCs w:val="20"/>
        </w:rPr>
      </w:pPr>
    </w:p>
    <w:p w14:paraId="3A955881" w14:textId="77777777" w:rsidR="006A78B2" w:rsidRDefault="006A78B2">
      <w:pPr>
        <w:pStyle w:val="Default"/>
        <w:jc w:val="both"/>
        <w:rPr>
          <w:sz w:val="20"/>
          <w:szCs w:val="20"/>
        </w:rPr>
      </w:pPr>
    </w:p>
    <w:p w14:paraId="709BA02D" w14:textId="77777777" w:rsidR="00153FCE" w:rsidRDefault="00153FCE">
      <w:pPr>
        <w:pStyle w:val="Default"/>
        <w:jc w:val="both"/>
        <w:rPr>
          <w:sz w:val="20"/>
          <w:szCs w:val="20"/>
        </w:rPr>
      </w:pPr>
    </w:p>
    <w:p w14:paraId="0F345493" w14:textId="77777777" w:rsidR="00153FCE" w:rsidRDefault="00153FCE">
      <w:pPr>
        <w:pStyle w:val="Default"/>
        <w:jc w:val="both"/>
        <w:rPr>
          <w:sz w:val="20"/>
          <w:szCs w:val="20"/>
        </w:rPr>
      </w:pPr>
    </w:p>
    <w:p w14:paraId="5F7BCD23" w14:textId="77777777" w:rsidR="00153FCE" w:rsidRDefault="00153FCE">
      <w:pPr>
        <w:pStyle w:val="Default"/>
        <w:jc w:val="both"/>
        <w:rPr>
          <w:sz w:val="20"/>
          <w:szCs w:val="20"/>
        </w:rPr>
      </w:pPr>
    </w:p>
    <w:p w14:paraId="2AA2164C" w14:textId="77777777" w:rsidR="00C41B84" w:rsidRDefault="00C41B84">
      <w:pPr>
        <w:pStyle w:val="Default"/>
        <w:jc w:val="both"/>
        <w:rPr>
          <w:sz w:val="20"/>
          <w:szCs w:val="20"/>
        </w:rPr>
        <w:sectPr w:rsidR="00C41B84" w:rsidSect="00C41B84">
          <w:type w:val="continuous"/>
          <w:pgSz w:w="11906" w:h="16838"/>
          <w:pgMar w:top="1418" w:right="1361" w:bottom="1418" w:left="1701" w:header="709" w:footer="709" w:gutter="0"/>
          <w:cols w:space="708"/>
          <w:formProt w:val="0"/>
          <w:docGrid w:linePitch="360"/>
        </w:sectPr>
      </w:pPr>
    </w:p>
    <w:p w14:paraId="743EA956" w14:textId="2652F43F" w:rsidR="00153FCE" w:rsidRDefault="00153FCE">
      <w:pPr>
        <w:pStyle w:val="Default"/>
        <w:jc w:val="both"/>
        <w:rPr>
          <w:sz w:val="20"/>
          <w:szCs w:val="20"/>
        </w:rPr>
      </w:pPr>
    </w:p>
    <w:p w14:paraId="0E7126DB" w14:textId="7E328C56" w:rsidR="006A78B2" w:rsidRDefault="00936224">
      <w:pPr>
        <w:pStyle w:val="Default"/>
        <w:jc w:val="both"/>
        <w:rPr>
          <w:sz w:val="20"/>
          <w:szCs w:val="20"/>
        </w:rPr>
      </w:pPr>
      <w:r>
        <w:rPr>
          <w:sz w:val="20"/>
          <w:szCs w:val="20"/>
        </w:rPr>
        <w:t xml:space="preserve">Der Stromlieferpreis P versteht sich </w:t>
      </w:r>
      <w:r>
        <w:rPr>
          <w:b/>
          <w:sz w:val="20"/>
          <w:szCs w:val="20"/>
          <w:u w:val="single"/>
        </w:rPr>
        <w:t>zuzüglich</w:t>
      </w:r>
      <w:r>
        <w:rPr>
          <w:sz w:val="20"/>
          <w:szCs w:val="20"/>
        </w:rPr>
        <w:t>:</w:t>
      </w:r>
    </w:p>
    <w:p w14:paraId="25EC58CE" w14:textId="77777777" w:rsidR="006A78B2" w:rsidRDefault="006A78B2">
      <w:pPr>
        <w:pStyle w:val="Default"/>
        <w:jc w:val="both"/>
        <w:rPr>
          <w:sz w:val="20"/>
          <w:szCs w:val="20"/>
        </w:rPr>
      </w:pPr>
    </w:p>
    <w:p w14:paraId="0CDFF11C" w14:textId="77777777" w:rsidR="00C71C7F" w:rsidRPr="00F13107" w:rsidRDefault="00C71C7F" w:rsidP="00C71C7F">
      <w:pPr>
        <w:numPr>
          <w:ilvl w:val="0"/>
          <w:numId w:val="9"/>
        </w:numPr>
        <w:tabs>
          <w:tab w:val="num" w:pos="1134"/>
        </w:tabs>
        <w:jc w:val="both"/>
        <w:rPr>
          <w:rFonts w:ascii="Arial" w:hAnsi="Arial" w:cs="Arial"/>
          <w:sz w:val="23"/>
          <w:szCs w:val="23"/>
        </w:rPr>
      </w:pPr>
      <w:r w:rsidRPr="00F13107">
        <w:rPr>
          <w:rFonts w:ascii="Arial" w:hAnsi="Arial" w:cs="Arial"/>
          <w:sz w:val="23"/>
          <w:szCs w:val="23"/>
        </w:rPr>
        <w:t>Netznutzungsentgelte des Netzbetreibers</w:t>
      </w:r>
    </w:p>
    <w:p w14:paraId="06317101" w14:textId="77777777" w:rsidR="00C71C7F" w:rsidRPr="00F13107" w:rsidRDefault="00C71C7F" w:rsidP="00C71C7F">
      <w:pPr>
        <w:numPr>
          <w:ilvl w:val="0"/>
          <w:numId w:val="9"/>
        </w:numPr>
        <w:tabs>
          <w:tab w:val="num" w:pos="1134"/>
        </w:tabs>
        <w:jc w:val="both"/>
        <w:rPr>
          <w:rFonts w:ascii="Arial" w:hAnsi="Arial" w:cs="Arial"/>
          <w:sz w:val="23"/>
          <w:szCs w:val="23"/>
        </w:rPr>
      </w:pPr>
      <w:r w:rsidRPr="00F13107">
        <w:rPr>
          <w:rFonts w:ascii="Arial" w:hAnsi="Arial" w:cs="Arial"/>
          <w:sz w:val="23"/>
          <w:szCs w:val="23"/>
        </w:rPr>
        <w:t>Entgelte für Messung und Zähldatenbereitstellung durch den Netzbetreiber (Messstellenbetrieb)</w:t>
      </w:r>
    </w:p>
    <w:p w14:paraId="31C8DED3" w14:textId="6A2B8A9B" w:rsidR="00C71C7F" w:rsidRPr="00F13107" w:rsidRDefault="00C71C7F" w:rsidP="00C71C7F">
      <w:pPr>
        <w:numPr>
          <w:ilvl w:val="0"/>
          <w:numId w:val="9"/>
        </w:numPr>
        <w:tabs>
          <w:tab w:val="num" w:pos="1134"/>
        </w:tabs>
        <w:jc w:val="both"/>
        <w:rPr>
          <w:rFonts w:ascii="Arial" w:hAnsi="Arial" w:cs="Arial"/>
          <w:sz w:val="23"/>
          <w:szCs w:val="23"/>
        </w:rPr>
      </w:pPr>
      <w:r w:rsidRPr="00F13107">
        <w:rPr>
          <w:rFonts w:ascii="Arial" w:hAnsi="Arial" w:cs="Arial"/>
          <w:sz w:val="23"/>
          <w:szCs w:val="23"/>
        </w:rPr>
        <w:t>Aufschlag für besondere Netznutzung</w:t>
      </w:r>
    </w:p>
    <w:p w14:paraId="0219059F" w14:textId="77777777" w:rsidR="00C71C7F" w:rsidRPr="00F13107" w:rsidRDefault="00C71C7F" w:rsidP="00C71C7F">
      <w:pPr>
        <w:numPr>
          <w:ilvl w:val="0"/>
          <w:numId w:val="9"/>
        </w:numPr>
        <w:tabs>
          <w:tab w:val="num" w:pos="1134"/>
        </w:tabs>
        <w:jc w:val="both"/>
        <w:rPr>
          <w:rFonts w:ascii="Arial" w:hAnsi="Arial" w:cs="Arial"/>
          <w:sz w:val="23"/>
          <w:szCs w:val="23"/>
        </w:rPr>
      </w:pPr>
      <w:r w:rsidRPr="00F13107">
        <w:rPr>
          <w:rFonts w:ascii="Arial" w:hAnsi="Arial" w:cs="Arial"/>
          <w:sz w:val="23"/>
          <w:szCs w:val="23"/>
        </w:rPr>
        <w:t xml:space="preserve">Offshore-Netzumlage gemäß §12 </w:t>
      </w:r>
      <w:proofErr w:type="spellStart"/>
      <w:r w:rsidRPr="00F13107">
        <w:rPr>
          <w:rFonts w:ascii="Arial" w:hAnsi="Arial" w:cs="Arial"/>
          <w:sz w:val="23"/>
          <w:szCs w:val="23"/>
        </w:rPr>
        <w:t>EnFG</w:t>
      </w:r>
      <w:proofErr w:type="spellEnd"/>
      <w:r w:rsidRPr="00F13107">
        <w:rPr>
          <w:rFonts w:ascii="Arial" w:hAnsi="Arial" w:cs="Arial"/>
          <w:sz w:val="23"/>
          <w:szCs w:val="23"/>
        </w:rPr>
        <w:t xml:space="preserve"> </w:t>
      </w:r>
      <w:proofErr w:type="spellStart"/>
      <w:r w:rsidRPr="00F13107">
        <w:rPr>
          <w:rFonts w:ascii="Arial" w:hAnsi="Arial" w:cs="Arial"/>
          <w:sz w:val="23"/>
          <w:szCs w:val="23"/>
        </w:rPr>
        <w:t>i.V.m</w:t>
      </w:r>
      <w:proofErr w:type="spellEnd"/>
      <w:r w:rsidRPr="00F13107">
        <w:rPr>
          <w:rFonts w:ascii="Arial" w:hAnsi="Arial" w:cs="Arial"/>
          <w:sz w:val="23"/>
          <w:szCs w:val="23"/>
        </w:rPr>
        <w:t>. §17f Energiewirtschaftsgesetz (EnWG)</w:t>
      </w:r>
    </w:p>
    <w:p w14:paraId="14F94462" w14:textId="77777777" w:rsidR="00C71C7F" w:rsidRPr="00F13107" w:rsidRDefault="00C71C7F" w:rsidP="00C71C7F">
      <w:pPr>
        <w:numPr>
          <w:ilvl w:val="0"/>
          <w:numId w:val="9"/>
        </w:numPr>
        <w:tabs>
          <w:tab w:val="num" w:pos="1134"/>
        </w:tabs>
        <w:jc w:val="both"/>
        <w:rPr>
          <w:rFonts w:ascii="Arial" w:hAnsi="Arial" w:cs="Arial"/>
          <w:sz w:val="23"/>
          <w:szCs w:val="23"/>
        </w:rPr>
      </w:pPr>
      <w:r w:rsidRPr="00F13107">
        <w:rPr>
          <w:rFonts w:ascii="Arial" w:hAnsi="Arial" w:cs="Arial"/>
          <w:sz w:val="23"/>
          <w:szCs w:val="23"/>
        </w:rPr>
        <w:t>Aufschläge gemäß Kraft-Wärme-Kopplungsgesetz (KWKG)</w:t>
      </w:r>
    </w:p>
    <w:p w14:paraId="39C1301B" w14:textId="77777777" w:rsidR="00C71C7F" w:rsidRPr="00F13107" w:rsidRDefault="00C71C7F" w:rsidP="00C71C7F">
      <w:pPr>
        <w:numPr>
          <w:ilvl w:val="0"/>
          <w:numId w:val="9"/>
        </w:numPr>
        <w:tabs>
          <w:tab w:val="num" w:pos="1134"/>
        </w:tabs>
        <w:jc w:val="both"/>
        <w:rPr>
          <w:rFonts w:ascii="Arial" w:hAnsi="Arial" w:cs="Arial"/>
          <w:sz w:val="23"/>
          <w:szCs w:val="23"/>
        </w:rPr>
      </w:pPr>
      <w:r w:rsidRPr="00F13107">
        <w:rPr>
          <w:rFonts w:ascii="Arial" w:hAnsi="Arial" w:cs="Arial"/>
          <w:sz w:val="23"/>
          <w:szCs w:val="23"/>
        </w:rPr>
        <w:t>Konzessionsabgaben gemäß Konzessionsabgabenverordnung (KAV)</w:t>
      </w:r>
    </w:p>
    <w:p w14:paraId="435F57BF" w14:textId="77777777" w:rsidR="00C71C7F" w:rsidRPr="00F13107" w:rsidRDefault="00C71C7F" w:rsidP="00C71C7F">
      <w:pPr>
        <w:numPr>
          <w:ilvl w:val="0"/>
          <w:numId w:val="9"/>
        </w:numPr>
        <w:tabs>
          <w:tab w:val="num" w:pos="1134"/>
        </w:tabs>
        <w:jc w:val="both"/>
        <w:rPr>
          <w:rFonts w:ascii="Arial" w:hAnsi="Arial" w:cs="Arial"/>
          <w:sz w:val="23"/>
          <w:szCs w:val="23"/>
        </w:rPr>
      </w:pPr>
      <w:r w:rsidRPr="00F13107">
        <w:rPr>
          <w:rFonts w:ascii="Arial" w:hAnsi="Arial" w:cs="Arial"/>
          <w:sz w:val="23"/>
          <w:szCs w:val="23"/>
        </w:rPr>
        <w:t>Stromsteuer</w:t>
      </w:r>
    </w:p>
    <w:p w14:paraId="5A51C396" w14:textId="3BB60F5B" w:rsidR="006A78B2" w:rsidRPr="00F13107" w:rsidRDefault="00C71C7F" w:rsidP="00C71C7F">
      <w:pPr>
        <w:pStyle w:val="Default"/>
        <w:numPr>
          <w:ilvl w:val="0"/>
          <w:numId w:val="9"/>
        </w:numPr>
        <w:jc w:val="both"/>
        <w:rPr>
          <w:sz w:val="20"/>
          <w:szCs w:val="20"/>
        </w:rPr>
      </w:pPr>
      <w:r w:rsidRPr="00F13107">
        <w:rPr>
          <w:sz w:val="23"/>
          <w:szCs w:val="23"/>
        </w:rPr>
        <w:t>Umsatzsteuer</w:t>
      </w:r>
    </w:p>
    <w:p w14:paraId="7D2DC3E8" w14:textId="77777777" w:rsidR="006A78B2" w:rsidRDefault="006A78B2">
      <w:pPr>
        <w:pStyle w:val="Default"/>
        <w:jc w:val="both"/>
        <w:rPr>
          <w:sz w:val="20"/>
          <w:szCs w:val="20"/>
        </w:rPr>
      </w:pPr>
    </w:p>
    <w:p w14:paraId="652720ED" w14:textId="77777777" w:rsidR="008A04A3" w:rsidRDefault="008A04A3">
      <w:pPr>
        <w:pStyle w:val="Default"/>
        <w:jc w:val="both"/>
        <w:rPr>
          <w:sz w:val="20"/>
          <w:szCs w:val="20"/>
        </w:rPr>
      </w:pPr>
    </w:p>
    <w:p w14:paraId="5FC18467" w14:textId="77777777" w:rsidR="006A78B2" w:rsidRDefault="00936224">
      <w:pPr>
        <w:pStyle w:val="Default"/>
        <w:jc w:val="both"/>
        <w:rPr>
          <w:sz w:val="20"/>
          <w:szCs w:val="20"/>
          <w:u w:val="single"/>
        </w:rPr>
      </w:pPr>
      <w:r>
        <w:rPr>
          <w:sz w:val="20"/>
          <w:szCs w:val="20"/>
          <w:u w:val="single"/>
        </w:rPr>
        <w:t xml:space="preserve">1. </w:t>
      </w:r>
      <w:r>
        <w:rPr>
          <w:sz w:val="22"/>
          <w:szCs w:val="22"/>
          <w:u w:val="single"/>
        </w:rPr>
        <w:t>Preis für 2027</w:t>
      </w:r>
    </w:p>
    <w:p w14:paraId="1E015DA1" w14:textId="77777777" w:rsidR="006A78B2" w:rsidRDefault="006A78B2">
      <w:pPr>
        <w:pStyle w:val="Default"/>
        <w:jc w:val="both"/>
        <w:rPr>
          <w:sz w:val="20"/>
          <w:szCs w:val="20"/>
        </w:rPr>
      </w:pPr>
    </w:p>
    <w:p w14:paraId="3571A6C8" w14:textId="0D8FDCDD" w:rsidR="006A78B2" w:rsidRDefault="00936224">
      <w:pPr>
        <w:pStyle w:val="KeinLeerraum"/>
        <w:numPr>
          <w:ilvl w:val="0"/>
          <w:numId w:val="11"/>
        </w:numPr>
        <w:jc w:val="both"/>
        <w:rPr>
          <w:rFonts w:ascii="Arial" w:hAnsi="Arial" w:cs="Arial"/>
          <w:sz w:val="23"/>
          <w:szCs w:val="23"/>
        </w:rPr>
      </w:pPr>
      <w:r>
        <w:rPr>
          <w:rFonts w:ascii="Arial" w:hAnsi="Arial" w:cs="Arial"/>
          <w:sz w:val="23"/>
          <w:szCs w:val="23"/>
        </w:rPr>
        <w:t xml:space="preserve">Für die Fixierung des Strompreises für 2027 wird nach Zuschlagserteilung (bis zum </w:t>
      </w:r>
      <w:r>
        <w:rPr>
          <w:rFonts w:ascii="Arial" w:hAnsi="Arial" w:cs="Arial"/>
          <w:b/>
          <w:sz w:val="23"/>
          <w:szCs w:val="23"/>
        </w:rPr>
        <w:t xml:space="preserve">23.05.2026) </w:t>
      </w:r>
      <w:r>
        <w:rPr>
          <w:rFonts w:ascii="Arial" w:hAnsi="Arial" w:cs="Arial"/>
          <w:sz w:val="23"/>
          <w:szCs w:val="23"/>
        </w:rPr>
        <w:t xml:space="preserve">durch den erfolgreichen Bieter an acht Stichtagen (jeweils der 5. / 15. Handelstag der Monate </w:t>
      </w:r>
      <w:r w:rsidR="00EF21C1">
        <w:rPr>
          <w:rFonts w:ascii="Arial" w:hAnsi="Arial" w:cs="Arial"/>
          <w:sz w:val="23"/>
          <w:szCs w:val="23"/>
        </w:rPr>
        <w:t>Juli, August</w:t>
      </w:r>
      <w:r>
        <w:rPr>
          <w:rFonts w:ascii="Arial" w:hAnsi="Arial" w:cs="Arial"/>
          <w:sz w:val="23"/>
          <w:szCs w:val="23"/>
        </w:rPr>
        <w:t xml:space="preserve">, September und Oktober) an der Energiebörse EEX in Leipzig jeweils 1/8 der Strommenge eingekauft und somit der Abrechnungspreis ermittelt. Die an dem jeweiligen Handelstag maßgeblichen Abrechnungspreise am Terminmarkt der EEX (German Power Futures) für </w:t>
      </w:r>
      <w:proofErr w:type="spellStart"/>
      <w:r>
        <w:rPr>
          <w:rFonts w:ascii="Arial" w:hAnsi="Arial" w:cs="Arial"/>
          <w:sz w:val="23"/>
          <w:szCs w:val="23"/>
        </w:rPr>
        <w:t>Baseload</w:t>
      </w:r>
      <w:proofErr w:type="spellEnd"/>
      <w:r>
        <w:rPr>
          <w:rFonts w:ascii="Arial" w:hAnsi="Arial" w:cs="Arial"/>
          <w:sz w:val="23"/>
          <w:szCs w:val="23"/>
        </w:rPr>
        <w:t xml:space="preserve"> Year Future Cal-2027 (P i, Base) und </w:t>
      </w:r>
      <w:proofErr w:type="spellStart"/>
      <w:r>
        <w:rPr>
          <w:rFonts w:ascii="Arial" w:hAnsi="Arial" w:cs="Arial"/>
          <w:sz w:val="23"/>
          <w:szCs w:val="23"/>
        </w:rPr>
        <w:t>Peakload</w:t>
      </w:r>
      <w:proofErr w:type="spellEnd"/>
      <w:r>
        <w:rPr>
          <w:rFonts w:ascii="Arial" w:hAnsi="Arial" w:cs="Arial"/>
          <w:sz w:val="23"/>
          <w:szCs w:val="23"/>
        </w:rPr>
        <w:t xml:space="preserve"> Year Future Cal-2027 (P i, Peak) sind in die Tabelle sind durch den erfolgreichen Bieter zu ermitteln und dem Auftraggeber unverzüglich nach dem letzten Stichtag zur Kontrolle zuzusenden. Nach dem 8. Stichtag steht dann der Strompreis für das Lieferjahr 2027 fest, zu dem abgerechnet wird. </w:t>
      </w:r>
    </w:p>
    <w:p w14:paraId="64181075" w14:textId="77777777" w:rsidR="006A78B2" w:rsidRDefault="006A78B2">
      <w:pPr>
        <w:pStyle w:val="Default"/>
        <w:jc w:val="both"/>
        <w:rPr>
          <w:sz w:val="20"/>
          <w:szCs w:val="20"/>
        </w:rPr>
      </w:pPr>
    </w:p>
    <w:p w14:paraId="0A3C557D" w14:textId="77777777" w:rsidR="006A78B2" w:rsidRDefault="006A78B2">
      <w:pPr>
        <w:pStyle w:val="Default"/>
        <w:jc w:val="both"/>
        <w:rPr>
          <w:sz w:val="20"/>
          <w:szCs w:val="20"/>
        </w:rPr>
      </w:pPr>
    </w:p>
    <w:p w14:paraId="43BB07B9" w14:textId="77777777" w:rsidR="00312030" w:rsidRDefault="00312030">
      <w:pPr>
        <w:pStyle w:val="Default"/>
        <w:jc w:val="both"/>
        <w:rPr>
          <w:sz w:val="20"/>
          <w:szCs w:val="20"/>
        </w:rPr>
      </w:pPr>
    </w:p>
    <w:p w14:paraId="47A84EFD" w14:textId="77777777" w:rsidR="006A78B2" w:rsidRDefault="00936224">
      <w:pPr>
        <w:pStyle w:val="Default"/>
        <w:jc w:val="both"/>
        <w:rPr>
          <w:sz w:val="22"/>
          <w:szCs w:val="22"/>
          <w:u w:val="single"/>
        </w:rPr>
      </w:pPr>
      <w:r>
        <w:rPr>
          <w:sz w:val="22"/>
          <w:szCs w:val="22"/>
          <w:u w:val="single"/>
        </w:rPr>
        <w:t>2. Preise für 2028 und 2029</w:t>
      </w:r>
    </w:p>
    <w:p w14:paraId="1EEB0AB1" w14:textId="77777777" w:rsidR="006A78B2" w:rsidRDefault="006A78B2">
      <w:pPr>
        <w:pStyle w:val="Default"/>
        <w:jc w:val="both"/>
        <w:rPr>
          <w:sz w:val="22"/>
          <w:szCs w:val="22"/>
          <w:u w:val="single"/>
        </w:rPr>
      </w:pPr>
    </w:p>
    <w:p w14:paraId="3A05E66B" w14:textId="77777777" w:rsidR="006A78B2" w:rsidRDefault="00936224">
      <w:pPr>
        <w:pStyle w:val="Default"/>
        <w:jc w:val="both"/>
        <w:rPr>
          <w:sz w:val="22"/>
          <w:szCs w:val="22"/>
        </w:rPr>
      </w:pPr>
      <w:r>
        <w:rPr>
          <w:sz w:val="22"/>
          <w:szCs w:val="22"/>
        </w:rPr>
        <w:t>Abweichend zu den Ausführungen zu 1. erfolgt die Preisfixierung für die Lieferjahre 2028 und 2029 an geänderten Stichtagen in dem jeweiligen vorangehenden Kalenderjahr.</w:t>
      </w:r>
    </w:p>
    <w:p w14:paraId="0F65609B" w14:textId="77777777" w:rsidR="006A78B2" w:rsidRDefault="006A78B2">
      <w:pPr>
        <w:pStyle w:val="Default"/>
        <w:jc w:val="both"/>
        <w:rPr>
          <w:sz w:val="22"/>
          <w:szCs w:val="22"/>
        </w:rPr>
      </w:pPr>
    </w:p>
    <w:p w14:paraId="3F37C398" w14:textId="77777777" w:rsidR="006A78B2" w:rsidRDefault="00936224">
      <w:pPr>
        <w:pStyle w:val="Default"/>
        <w:jc w:val="both"/>
        <w:rPr>
          <w:sz w:val="22"/>
          <w:szCs w:val="22"/>
        </w:rPr>
      </w:pPr>
      <w:r>
        <w:rPr>
          <w:sz w:val="22"/>
          <w:szCs w:val="22"/>
        </w:rPr>
        <w:t>Auf Basis der Preisformel wird die Strommenge für jedes einzelne Lieferjahr 2028 und 2029 jeweils zu zehn Stichtagen, d.h. in jeweils zehn gleichgroßen Teilmengen (Tranchen) beschafft.</w:t>
      </w:r>
    </w:p>
    <w:p w14:paraId="59577B47" w14:textId="77777777" w:rsidR="006A78B2" w:rsidRDefault="006A78B2">
      <w:pPr>
        <w:pStyle w:val="Default"/>
        <w:jc w:val="both"/>
        <w:rPr>
          <w:sz w:val="22"/>
          <w:szCs w:val="22"/>
        </w:rPr>
      </w:pPr>
    </w:p>
    <w:p w14:paraId="0C214390" w14:textId="77777777" w:rsidR="006A78B2" w:rsidRDefault="00936224">
      <w:pPr>
        <w:pStyle w:val="Default"/>
        <w:jc w:val="both"/>
        <w:rPr>
          <w:sz w:val="22"/>
          <w:szCs w:val="22"/>
        </w:rPr>
      </w:pPr>
      <w:r>
        <w:rPr>
          <w:sz w:val="22"/>
          <w:szCs w:val="22"/>
        </w:rPr>
        <w:t>Da zu mehreren unterschiedlichen Zeitpunkten die Stromtranchen eingekauft werden, ergeben sich die letztendlichen Preise für die beiden Börsenprodukte Base und Peak jeweils als arithmetisches Mittel der zu den einzelnen Stichtagen realisierten Preise.</w:t>
      </w:r>
    </w:p>
    <w:p w14:paraId="7329ACF2" w14:textId="77777777" w:rsidR="006A78B2" w:rsidRDefault="006A78B2">
      <w:pPr>
        <w:pStyle w:val="Default"/>
        <w:jc w:val="both"/>
        <w:rPr>
          <w:sz w:val="22"/>
          <w:szCs w:val="22"/>
        </w:rPr>
      </w:pPr>
    </w:p>
    <w:p w14:paraId="20DCC49D" w14:textId="77777777" w:rsidR="006A78B2" w:rsidRDefault="00936224">
      <w:pPr>
        <w:pStyle w:val="Default"/>
        <w:jc w:val="both"/>
        <w:rPr>
          <w:sz w:val="22"/>
          <w:szCs w:val="22"/>
        </w:rPr>
      </w:pPr>
      <w:r>
        <w:rPr>
          <w:sz w:val="22"/>
          <w:szCs w:val="22"/>
        </w:rPr>
        <w:t>Als Stichtage für die Beschaffung der Strommengen wird der jeweils zehnte Handelstag der Energiebörse EEX (montags bis freitags) in den Monaten Januar – Oktober des dem jeweiligen Lieferjahres vorangehenden Kalenderjahres festgesetzt. Ausgenommen sind gesetzliche Feiertage sowie Brückentage.</w:t>
      </w:r>
    </w:p>
    <w:p w14:paraId="506F88E3" w14:textId="77777777" w:rsidR="006A78B2" w:rsidRDefault="006A78B2">
      <w:pPr>
        <w:pStyle w:val="Default"/>
        <w:jc w:val="both"/>
        <w:rPr>
          <w:sz w:val="22"/>
          <w:szCs w:val="22"/>
        </w:rPr>
      </w:pPr>
    </w:p>
    <w:p w14:paraId="61E33BBD" w14:textId="77777777" w:rsidR="006A78B2" w:rsidRDefault="00936224">
      <w:pPr>
        <w:pStyle w:val="Default"/>
        <w:jc w:val="both"/>
        <w:rPr>
          <w:sz w:val="22"/>
          <w:szCs w:val="22"/>
        </w:rPr>
      </w:pPr>
      <w:r>
        <w:rPr>
          <w:sz w:val="22"/>
          <w:szCs w:val="22"/>
        </w:rPr>
        <w:t xml:space="preserve">Die zu diesen Stichtagen maßgeblichen Abrechnungspreise am Terminmarkt der EEX (German Power Futures) für </w:t>
      </w:r>
      <w:proofErr w:type="spellStart"/>
      <w:r>
        <w:rPr>
          <w:sz w:val="22"/>
          <w:szCs w:val="22"/>
        </w:rPr>
        <w:t>Baseload</w:t>
      </w:r>
      <w:proofErr w:type="spellEnd"/>
      <w:r>
        <w:rPr>
          <w:sz w:val="22"/>
          <w:szCs w:val="22"/>
        </w:rPr>
        <w:t xml:space="preserve"> Year Future Cal-202x und </w:t>
      </w:r>
      <w:proofErr w:type="spellStart"/>
      <w:r>
        <w:rPr>
          <w:sz w:val="22"/>
          <w:szCs w:val="22"/>
        </w:rPr>
        <w:t>Peakload</w:t>
      </w:r>
      <w:proofErr w:type="spellEnd"/>
      <w:r>
        <w:rPr>
          <w:sz w:val="22"/>
          <w:szCs w:val="22"/>
        </w:rPr>
        <w:t xml:space="preserve"> Year Future Cal-202x sind zu ermitteln und dem Auftraggeber nach jedem Einkauf zur Kontrolle zuzusenden.</w:t>
      </w:r>
    </w:p>
    <w:p w14:paraId="6577A23E" w14:textId="77777777" w:rsidR="006A78B2" w:rsidRDefault="006A78B2">
      <w:pPr>
        <w:pStyle w:val="Default"/>
        <w:jc w:val="both"/>
        <w:rPr>
          <w:sz w:val="22"/>
          <w:szCs w:val="22"/>
        </w:rPr>
      </w:pPr>
    </w:p>
    <w:p w14:paraId="39980389" w14:textId="07B07DE5" w:rsidR="006A78B2" w:rsidRDefault="00936224">
      <w:pPr>
        <w:pStyle w:val="Default"/>
        <w:jc w:val="both"/>
        <w:rPr>
          <w:sz w:val="22"/>
          <w:szCs w:val="22"/>
        </w:rPr>
      </w:pPr>
      <w:r>
        <w:rPr>
          <w:sz w:val="22"/>
          <w:szCs w:val="22"/>
        </w:rPr>
        <w:t>Die jeweils arithmetisch gemittelten Preise für die beiden Börsenprodukte Base und Peak werden Bestandteil des Stromliefervertrages.</w:t>
      </w:r>
      <w:r w:rsidR="00C71C7F">
        <w:rPr>
          <w:sz w:val="22"/>
          <w:szCs w:val="22"/>
        </w:rPr>
        <w:t xml:space="preserve"> </w:t>
      </w:r>
      <w:r w:rsidR="00C71C7F">
        <w:rPr>
          <w:sz w:val="23"/>
          <w:szCs w:val="23"/>
        </w:rPr>
        <w:t>Nach dem 10. Stichtag steht dann der Strompreis für das folgende Lieferjahr fest, zu dem abgerechnet wird.</w:t>
      </w:r>
    </w:p>
    <w:p w14:paraId="17CC5E89" w14:textId="77777777" w:rsidR="006A78B2" w:rsidRDefault="006A78B2">
      <w:pPr>
        <w:pStyle w:val="Default"/>
        <w:jc w:val="both"/>
        <w:rPr>
          <w:sz w:val="22"/>
          <w:szCs w:val="22"/>
        </w:rPr>
      </w:pPr>
    </w:p>
    <w:p w14:paraId="1653775A" w14:textId="77777777" w:rsidR="006A78B2" w:rsidRDefault="00936224">
      <w:pPr>
        <w:pStyle w:val="Default"/>
        <w:jc w:val="both"/>
        <w:rPr>
          <w:sz w:val="22"/>
          <w:szCs w:val="22"/>
        </w:rPr>
      </w:pPr>
      <w:r>
        <w:rPr>
          <w:sz w:val="22"/>
          <w:szCs w:val="22"/>
        </w:rPr>
        <w:t xml:space="preserve">Die Parameter α, β und D sind auch für die Lieferjahre 2028 und 2029 fest vereinbart, sofern der Vertrag nicht vorher gekündigt wird. </w:t>
      </w:r>
    </w:p>
    <w:p w14:paraId="1B167969" w14:textId="77777777" w:rsidR="006A78B2" w:rsidRDefault="006A78B2">
      <w:pPr>
        <w:pStyle w:val="Default"/>
        <w:rPr>
          <w:sz w:val="20"/>
          <w:szCs w:val="20"/>
        </w:rPr>
      </w:pPr>
    </w:p>
    <w:p w14:paraId="483C7016" w14:textId="77777777" w:rsidR="006A78B2" w:rsidRDefault="006A78B2">
      <w:pPr>
        <w:pStyle w:val="Default"/>
        <w:rPr>
          <w:sz w:val="20"/>
          <w:szCs w:val="20"/>
        </w:rPr>
      </w:pPr>
    </w:p>
    <w:p w14:paraId="51A4C5A5" w14:textId="77777777" w:rsidR="006A78B2" w:rsidRDefault="00936224">
      <w:pPr>
        <w:pStyle w:val="Default"/>
        <w:jc w:val="both"/>
        <w:rPr>
          <w:b/>
          <w:sz w:val="20"/>
          <w:szCs w:val="20"/>
          <w:highlight w:val="yellow"/>
        </w:rPr>
      </w:pPr>
      <w:r>
        <w:rPr>
          <w:b/>
          <w:sz w:val="20"/>
          <w:szCs w:val="20"/>
          <w:highlight w:val="yellow"/>
        </w:rPr>
        <w:t>Wichtiger Hinweis:</w:t>
      </w:r>
    </w:p>
    <w:p w14:paraId="393F39FC" w14:textId="77777777" w:rsidR="006A78B2" w:rsidRDefault="006A78B2">
      <w:pPr>
        <w:pStyle w:val="Default"/>
        <w:jc w:val="both"/>
        <w:rPr>
          <w:b/>
          <w:sz w:val="20"/>
          <w:szCs w:val="20"/>
          <w:highlight w:val="yellow"/>
        </w:rPr>
      </w:pPr>
    </w:p>
    <w:p w14:paraId="49A059BB" w14:textId="77777777" w:rsidR="006A78B2" w:rsidRDefault="00936224">
      <w:pPr>
        <w:pStyle w:val="Default"/>
        <w:jc w:val="both"/>
        <w:rPr>
          <w:b/>
          <w:sz w:val="20"/>
          <w:szCs w:val="20"/>
          <w:highlight w:val="yellow"/>
        </w:rPr>
      </w:pPr>
      <w:r>
        <w:rPr>
          <w:b/>
          <w:sz w:val="20"/>
          <w:szCs w:val="20"/>
          <w:highlight w:val="yellow"/>
        </w:rPr>
        <w:t>In die GAEB-Datei „PreisStrom.d83“ ist der Gesamtstromlieferpreis bezogen auf die voraussichtliche Abnahmemenge für 2027-2029 von 34.800.000 kWh (11.600.000 + 11.600.000 + 11.600.000) einzutragen. Die Berechnung erfolgt anhand der Formel und der oben eingetragenen Parameter α, β und D.</w:t>
      </w:r>
    </w:p>
    <w:p w14:paraId="279F24F7" w14:textId="0FBE47B2" w:rsidR="006A78B2" w:rsidRDefault="00936224">
      <w:pPr>
        <w:pStyle w:val="Default"/>
        <w:jc w:val="both"/>
        <w:rPr>
          <w:b/>
          <w:sz w:val="20"/>
          <w:szCs w:val="20"/>
          <w:highlight w:val="yellow"/>
        </w:rPr>
      </w:pPr>
      <w:r>
        <w:rPr>
          <w:b/>
          <w:sz w:val="20"/>
          <w:szCs w:val="20"/>
          <w:highlight w:val="yellow"/>
        </w:rPr>
        <w:t xml:space="preserve">Für die Eingabe wird P </w:t>
      </w:r>
      <w:r>
        <w:rPr>
          <w:b/>
          <w:sz w:val="20"/>
          <w:szCs w:val="20"/>
          <w:highlight w:val="yellow"/>
          <w:vertAlign w:val="subscript"/>
        </w:rPr>
        <w:t>i, Base</w:t>
      </w:r>
      <w:r>
        <w:rPr>
          <w:b/>
          <w:sz w:val="20"/>
          <w:szCs w:val="20"/>
          <w:highlight w:val="yellow"/>
        </w:rPr>
        <w:t xml:space="preserve"> </w:t>
      </w:r>
      <w:r>
        <w:rPr>
          <w:b/>
          <w:sz w:val="20"/>
          <w:szCs w:val="20"/>
          <w:highlight w:val="yellow"/>
        </w:rPr>
        <w:tab/>
        <w:t xml:space="preserve">= </w:t>
      </w:r>
      <w:r w:rsidRPr="003E4494">
        <w:rPr>
          <w:b/>
          <w:color w:val="auto"/>
          <w:sz w:val="20"/>
          <w:szCs w:val="20"/>
          <w:highlight w:val="yellow"/>
        </w:rPr>
        <w:t>8,</w:t>
      </w:r>
      <w:r w:rsidR="003E4494">
        <w:rPr>
          <w:b/>
          <w:color w:val="auto"/>
          <w:sz w:val="20"/>
          <w:szCs w:val="20"/>
          <w:highlight w:val="yellow"/>
        </w:rPr>
        <w:t>215</w:t>
      </w:r>
      <w:r w:rsidRPr="003E4494">
        <w:rPr>
          <w:b/>
          <w:color w:val="auto"/>
          <w:sz w:val="20"/>
          <w:szCs w:val="20"/>
          <w:highlight w:val="yellow"/>
        </w:rPr>
        <w:t xml:space="preserve"> ct/kWh und P </w:t>
      </w:r>
      <w:r w:rsidRPr="003E4494">
        <w:rPr>
          <w:b/>
          <w:color w:val="auto"/>
          <w:sz w:val="20"/>
          <w:szCs w:val="20"/>
          <w:highlight w:val="yellow"/>
          <w:vertAlign w:val="subscript"/>
        </w:rPr>
        <w:t>i, Peak</w:t>
      </w:r>
      <w:r w:rsidRPr="003E4494">
        <w:rPr>
          <w:b/>
          <w:color w:val="auto"/>
          <w:sz w:val="20"/>
          <w:szCs w:val="20"/>
          <w:highlight w:val="yellow"/>
        </w:rPr>
        <w:t xml:space="preserve"> = 8,</w:t>
      </w:r>
      <w:r w:rsidR="003E4494">
        <w:rPr>
          <w:b/>
          <w:color w:val="auto"/>
          <w:sz w:val="20"/>
          <w:szCs w:val="20"/>
          <w:highlight w:val="yellow"/>
        </w:rPr>
        <w:t>661</w:t>
      </w:r>
      <w:r w:rsidRPr="003E4494">
        <w:rPr>
          <w:b/>
          <w:color w:val="auto"/>
          <w:sz w:val="20"/>
          <w:szCs w:val="20"/>
          <w:highlight w:val="yellow"/>
        </w:rPr>
        <w:t xml:space="preserve"> ct/kWh vorgegeben</w:t>
      </w:r>
      <w:r>
        <w:rPr>
          <w:b/>
          <w:color w:val="EE0000"/>
          <w:sz w:val="20"/>
          <w:szCs w:val="20"/>
          <w:highlight w:val="yellow"/>
        </w:rPr>
        <w:t>.</w:t>
      </w:r>
    </w:p>
    <w:p w14:paraId="1F59DCE4" w14:textId="495741DB" w:rsidR="006A78B2" w:rsidRDefault="00936224">
      <w:pPr>
        <w:pStyle w:val="Default"/>
        <w:jc w:val="both"/>
        <w:rPr>
          <w:b/>
          <w:sz w:val="20"/>
          <w:szCs w:val="20"/>
          <w:lang w:val="en-US"/>
        </w:rPr>
      </w:pPr>
      <w:proofErr w:type="spellStart"/>
      <w:r>
        <w:rPr>
          <w:b/>
          <w:sz w:val="20"/>
          <w:szCs w:val="20"/>
          <w:lang w:val="en-US"/>
        </w:rPr>
        <w:t>Daten</w:t>
      </w:r>
      <w:proofErr w:type="spellEnd"/>
      <w:r>
        <w:rPr>
          <w:b/>
          <w:sz w:val="20"/>
          <w:szCs w:val="20"/>
          <w:lang w:val="en-US"/>
        </w:rPr>
        <w:t xml:space="preserve"> </w:t>
      </w:r>
      <w:proofErr w:type="spellStart"/>
      <w:r>
        <w:rPr>
          <w:b/>
          <w:sz w:val="20"/>
          <w:szCs w:val="20"/>
          <w:lang w:val="en-US"/>
        </w:rPr>
        <w:t>aus</w:t>
      </w:r>
      <w:proofErr w:type="spellEnd"/>
      <w:r>
        <w:rPr>
          <w:b/>
          <w:sz w:val="20"/>
          <w:szCs w:val="20"/>
          <w:lang w:val="en-US"/>
        </w:rPr>
        <w:t xml:space="preserve"> EEX: </w:t>
      </w:r>
      <w:proofErr w:type="spellStart"/>
      <w:r>
        <w:rPr>
          <w:b/>
          <w:sz w:val="20"/>
          <w:szCs w:val="20"/>
          <w:lang w:val="en-US"/>
        </w:rPr>
        <w:t>GermanPower</w:t>
      </w:r>
      <w:proofErr w:type="spellEnd"/>
      <w:r>
        <w:rPr>
          <w:b/>
          <w:sz w:val="20"/>
          <w:szCs w:val="20"/>
          <w:lang w:val="en-US"/>
        </w:rPr>
        <w:t xml:space="preserve"> Futures Base Year Future (Cal-2027) und Peak Year Future (Cal-2027) </w:t>
      </w:r>
      <w:proofErr w:type="spellStart"/>
      <w:r>
        <w:rPr>
          <w:b/>
          <w:sz w:val="20"/>
          <w:szCs w:val="20"/>
          <w:lang w:val="en-US"/>
        </w:rPr>
        <w:t>vom</w:t>
      </w:r>
      <w:proofErr w:type="spellEnd"/>
      <w:r>
        <w:rPr>
          <w:b/>
          <w:sz w:val="20"/>
          <w:szCs w:val="20"/>
          <w:lang w:val="en-US"/>
        </w:rPr>
        <w:t xml:space="preserve"> </w:t>
      </w:r>
      <w:r w:rsidR="003E4494" w:rsidRPr="003E4494">
        <w:rPr>
          <w:b/>
          <w:sz w:val="20"/>
          <w:szCs w:val="20"/>
          <w:lang w:val="en-US"/>
        </w:rPr>
        <w:t>10</w:t>
      </w:r>
      <w:r w:rsidRPr="003E4494">
        <w:rPr>
          <w:b/>
          <w:sz w:val="20"/>
          <w:szCs w:val="20"/>
          <w:lang w:val="en-US"/>
        </w:rPr>
        <w:t>.02.2026</w:t>
      </w:r>
      <w:r>
        <w:rPr>
          <w:b/>
          <w:sz w:val="20"/>
          <w:szCs w:val="20"/>
          <w:lang w:val="en-US"/>
        </w:rPr>
        <w:t>.</w:t>
      </w:r>
    </w:p>
    <w:p w14:paraId="557BE367" w14:textId="77777777" w:rsidR="006A78B2" w:rsidRDefault="006A78B2">
      <w:pPr>
        <w:pStyle w:val="Default"/>
        <w:jc w:val="both"/>
        <w:rPr>
          <w:b/>
          <w:sz w:val="20"/>
          <w:szCs w:val="20"/>
          <w:lang w:val="en-US"/>
        </w:rPr>
      </w:pPr>
    </w:p>
    <w:p w14:paraId="0CCFD8B0" w14:textId="77777777" w:rsidR="006A78B2" w:rsidRDefault="006A78B2">
      <w:pPr>
        <w:pStyle w:val="Default"/>
        <w:jc w:val="both"/>
        <w:rPr>
          <w:sz w:val="20"/>
          <w:szCs w:val="20"/>
          <w:lang w:val="en-US"/>
        </w:rPr>
      </w:pPr>
    </w:p>
    <w:sectPr w:rsidR="006A78B2" w:rsidSect="00C41B84">
      <w:type w:val="continuous"/>
      <w:pgSz w:w="11906" w:h="16838"/>
      <w:pgMar w:top="1418" w:right="136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BC040" w14:textId="77777777" w:rsidR="00BC3153" w:rsidRDefault="00BC3153">
      <w:r>
        <w:separator/>
      </w:r>
    </w:p>
  </w:endnote>
  <w:endnote w:type="continuationSeparator" w:id="0">
    <w:p w14:paraId="23EC24EE" w14:textId="77777777" w:rsidR="00BC3153" w:rsidRDefault="00BC3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Humnst BT">
    <w:altName w:val="Segoe UI"/>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DAD8F" w14:textId="77777777" w:rsidR="006A78B2" w:rsidRDefault="00936224">
    <w:pPr>
      <w:pStyle w:val="Fuzeile"/>
      <w:jc w:val="right"/>
      <w:rPr>
        <w:rFonts w:ascii="Arial" w:hAnsi="Arial" w:cs="Arial"/>
        <w:sz w:val="18"/>
        <w:szCs w:val="18"/>
      </w:rPr>
    </w:pPr>
    <w:r>
      <w:rPr>
        <w:rStyle w:val="Seitenzahl"/>
        <w:rFonts w:ascii="Arial" w:hAnsi="Arial" w:cs="Arial"/>
      </w:rPr>
      <w:t>-</w:t>
    </w:r>
    <w:r>
      <w:rPr>
        <w:rStyle w:val="Seitenzahl"/>
        <w:rFonts w:ascii="Arial" w:hAnsi="Arial" w:cs="Arial"/>
        <w:sz w:val="18"/>
        <w:szCs w:val="18"/>
      </w:rPr>
      <w:fldChar w:fldCharType="begin"/>
    </w:r>
    <w:r>
      <w:rPr>
        <w:rStyle w:val="Seitenzahl"/>
        <w:rFonts w:ascii="Arial" w:hAnsi="Arial" w:cs="Arial"/>
        <w:sz w:val="18"/>
        <w:szCs w:val="18"/>
      </w:rPr>
      <w:instrText xml:space="preserve"> PAGE </w:instrText>
    </w:r>
    <w:r>
      <w:rPr>
        <w:rStyle w:val="Seitenzahl"/>
        <w:rFonts w:ascii="Arial" w:hAnsi="Arial" w:cs="Arial"/>
        <w:sz w:val="18"/>
        <w:szCs w:val="18"/>
      </w:rPr>
      <w:fldChar w:fldCharType="separate"/>
    </w:r>
    <w:r>
      <w:rPr>
        <w:rStyle w:val="Seitenzahl"/>
        <w:rFonts w:ascii="Arial" w:hAnsi="Arial" w:cs="Arial"/>
        <w:noProof/>
        <w:sz w:val="18"/>
        <w:szCs w:val="18"/>
      </w:rPr>
      <w:t>2</w:t>
    </w:r>
    <w:r>
      <w:rPr>
        <w:rStyle w:val="Seitenzahl"/>
        <w:rFonts w:ascii="Arial" w:hAnsi="Arial" w:cs="Arial"/>
        <w:sz w:val="18"/>
        <w:szCs w:val="18"/>
      </w:rPr>
      <w:fldChar w:fldCharType="end"/>
    </w:r>
    <w:r>
      <w:rPr>
        <w:rStyle w:val="Seitenzahl"/>
        <w:rFonts w:ascii="Arial" w:hAnsi="Arial" w:cs="Arial"/>
        <w:sz w:val="18"/>
        <w:szCs w:val="18"/>
      </w:rPr>
      <w:t>/</w:t>
    </w:r>
    <w:r>
      <w:rPr>
        <w:rStyle w:val="Seitenzahl"/>
        <w:rFonts w:ascii="Arial" w:hAnsi="Arial" w:cs="Arial"/>
        <w:sz w:val="18"/>
        <w:szCs w:val="18"/>
      </w:rPr>
      <w:fldChar w:fldCharType="begin"/>
    </w:r>
    <w:r>
      <w:rPr>
        <w:rStyle w:val="Seitenzahl"/>
        <w:rFonts w:ascii="Arial" w:hAnsi="Arial" w:cs="Arial"/>
        <w:sz w:val="18"/>
        <w:szCs w:val="18"/>
      </w:rPr>
      <w:instrText xml:space="preserve"> NUMPAGES </w:instrText>
    </w:r>
    <w:r>
      <w:rPr>
        <w:rStyle w:val="Seitenzahl"/>
        <w:rFonts w:ascii="Arial" w:hAnsi="Arial" w:cs="Arial"/>
        <w:sz w:val="18"/>
        <w:szCs w:val="18"/>
      </w:rPr>
      <w:fldChar w:fldCharType="separate"/>
    </w:r>
    <w:r>
      <w:rPr>
        <w:rStyle w:val="Seitenzahl"/>
        <w:rFonts w:ascii="Arial" w:hAnsi="Arial" w:cs="Arial"/>
        <w:noProof/>
        <w:sz w:val="18"/>
        <w:szCs w:val="18"/>
      </w:rPr>
      <w:t>2</w:t>
    </w:r>
    <w:r>
      <w:rPr>
        <w:rStyle w:val="Seitenzahl"/>
        <w:rFonts w:ascii="Arial" w:hAnsi="Arial" w:cs="Arial"/>
        <w:sz w:val="18"/>
        <w:szCs w:val="18"/>
      </w:rPr>
      <w:fldChar w:fldCharType="end"/>
    </w:r>
    <w:r>
      <w:rPr>
        <w:rStyle w:val="Seitenzahl"/>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B33A2" w14:textId="77777777" w:rsidR="00BC3153" w:rsidRDefault="00BC3153">
      <w:r>
        <w:separator/>
      </w:r>
    </w:p>
  </w:footnote>
  <w:footnote w:type="continuationSeparator" w:id="0">
    <w:p w14:paraId="147FB20D" w14:textId="77777777" w:rsidR="00BC3153" w:rsidRDefault="00BC3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B9617" w14:textId="77777777" w:rsidR="006A78B2" w:rsidRDefault="00936224">
    <w:pPr>
      <w:pStyle w:val="Kopfzeile"/>
      <w:rPr>
        <w:rFonts w:ascii="Arial" w:hAnsi="Arial" w:cs="Arial"/>
      </w:rPr>
    </w:pPr>
    <w:r>
      <w:rPr>
        <w:rFonts w:ascii="Arial" w:hAnsi="Arial" w:cs="Arial"/>
      </w:rPr>
      <w:t xml:space="preserve">Anlage 2 – Preisblatt </w:t>
    </w:r>
  </w:p>
  <w:p w14:paraId="4D69C9D2" w14:textId="77777777" w:rsidR="006A78B2" w:rsidRDefault="006A78B2">
    <w:pPr>
      <w:pStyle w:val="Kopfzeile"/>
      <w:rPr>
        <w:rFonts w:ascii="Arial" w:hAnsi="Arial" w:cs="Arial"/>
      </w:rPr>
    </w:pPr>
  </w:p>
  <w:p w14:paraId="6E70527B" w14:textId="77777777" w:rsidR="006A78B2" w:rsidRDefault="006A78B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1578"/>
    <w:multiLevelType w:val="hybridMultilevel"/>
    <w:tmpl w:val="AD067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0B0812"/>
    <w:multiLevelType w:val="hybridMultilevel"/>
    <w:tmpl w:val="76D08004"/>
    <w:lvl w:ilvl="0" w:tplc="BD8E72A0">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48900512"/>
    <w:multiLevelType w:val="hybridMultilevel"/>
    <w:tmpl w:val="45FE9BEE"/>
    <w:lvl w:ilvl="0" w:tplc="04070005">
      <w:start w:val="1"/>
      <w:numFmt w:val="bullet"/>
      <w:lvlText w:val=""/>
      <w:lvlJc w:val="left"/>
      <w:pPr>
        <w:tabs>
          <w:tab w:val="num" w:pos="1668"/>
        </w:tabs>
        <w:ind w:left="1668" w:hanging="360"/>
      </w:pPr>
      <w:rPr>
        <w:rFonts w:ascii="Wingdings" w:hAnsi="Wingdings" w:hint="default"/>
      </w:rPr>
    </w:lvl>
    <w:lvl w:ilvl="1" w:tplc="04070003">
      <w:start w:val="1"/>
      <w:numFmt w:val="bullet"/>
      <w:lvlText w:val="o"/>
      <w:lvlJc w:val="left"/>
      <w:pPr>
        <w:tabs>
          <w:tab w:val="num" w:pos="2388"/>
        </w:tabs>
        <w:ind w:left="2388" w:hanging="360"/>
      </w:pPr>
      <w:rPr>
        <w:rFonts w:ascii="Courier New" w:hAnsi="Courier New" w:cs="Courier New" w:hint="default"/>
      </w:rPr>
    </w:lvl>
    <w:lvl w:ilvl="2" w:tplc="04070005" w:tentative="1">
      <w:start w:val="1"/>
      <w:numFmt w:val="bullet"/>
      <w:lvlText w:val=""/>
      <w:lvlJc w:val="left"/>
      <w:pPr>
        <w:tabs>
          <w:tab w:val="num" w:pos="3108"/>
        </w:tabs>
        <w:ind w:left="3108" w:hanging="360"/>
      </w:pPr>
      <w:rPr>
        <w:rFonts w:ascii="Wingdings" w:hAnsi="Wingdings" w:hint="default"/>
      </w:rPr>
    </w:lvl>
    <w:lvl w:ilvl="3" w:tplc="04070001" w:tentative="1">
      <w:start w:val="1"/>
      <w:numFmt w:val="bullet"/>
      <w:lvlText w:val=""/>
      <w:lvlJc w:val="left"/>
      <w:pPr>
        <w:tabs>
          <w:tab w:val="num" w:pos="3828"/>
        </w:tabs>
        <w:ind w:left="3828" w:hanging="360"/>
      </w:pPr>
      <w:rPr>
        <w:rFonts w:ascii="Symbol" w:hAnsi="Symbol" w:hint="default"/>
      </w:rPr>
    </w:lvl>
    <w:lvl w:ilvl="4" w:tplc="04070003" w:tentative="1">
      <w:start w:val="1"/>
      <w:numFmt w:val="bullet"/>
      <w:lvlText w:val="o"/>
      <w:lvlJc w:val="left"/>
      <w:pPr>
        <w:tabs>
          <w:tab w:val="num" w:pos="4548"/>
        </w:tabs>
        <w:ind w:left="4548" w:hanging="360"/>
      </w:pPr>
      <w:rPr>
        <w:rFonts w:ascii="Courier New" w:hAnsi="Courier New" w:cs="Courier New" w:hint="default"/>
      </w:rPr>
    </w:lvl>
    <w:lvl w:ilvl="5" w:tplc="04070005" w:tentative="1">
      <w:start w:val="1"/>
      <w:numFmt w:val="bullet"/>
      <w:lvlText w:val=""/>
      <w:lvlJc w:val="left"/>
      <w:pPr>
        <w:tabs>
          <w:tab w:val="num" w:pos="5268"/>
        </w:tabs>
        <w:ind w:left="5268" w:hanging="360"/>
      </w:pPr>
      <w:rPr>
        <w:rFonts w:ascii="Wingdings" w:hAnsi="Wingdings" w:hint="default"/>
      </w:rPr>
    </w:lvl>
    <w:lvl w:ilvl="6" w:tplc="04070001" w:tentative="1">
      <w:start w:val="1"/>
      <w:numFmt w:val="bullet"/>
      <w:lvlText w:val=""/>
      <w:lvlJc w:val="left"/>
      <w:pPr>
        <w:tabs>
          <w:tab w:val="num" w:pos="5988"/>
        </w:tabs>
        <w:ind w:left="5988" w:hanging="360"/>
      </w:pPr>
      <w:rPr>
        <w:rFonts w:ascii="Symbol" w:hAnsi="Symbol" w:hint="default"/>
      </w:rPr>
    </w:lvl>
    <w:lvl w:ilvl="7" w:tplc="04070003" w:tentative="1">
      <w:start w:val="1"/>
      <w:numFmt w:val="bullet"/>
      <w:lvlText w:val="o"/>
      <w:lvlJc w:val="left"/>
      <w:pPr>
        <w:tabs>
          <w:tab w:val="num" w:pos="6708"/>
        </w:tabs>
        <w:ind w:left="6708" w:hanging="360"/>
      </w:pPr>
      <w:rPr>
        <w:rFonts w:ascii="Courier New" w:hAnsi="Courier New" w:cs="Courier New" w:hint="default"/>
      </w:rPr>
    </w:lvl>
    <w:lvl w:ilvl="8" w:tplc="04070005" w:tentative="1">
      <w:start w:val="1"/>
      <w:numFmt w:val="bullet"/>
      <w:lvlText w:val=""/>
      <w:lvlJc w:val="left"/>
      <w:pPr>
        <w:tabs>
          <w:tab w:val="num" w:pos="7428"/>
        </w:tabs>
        <w:ind w:left="7428" w:hanging="360"/>
      </w:pPr>
      <w:rPr>
        <w:rFonts w:ascii="Wingdings" w:hAnsi="Wingdings" w:hint="default"/>
      </w:rPr>
    </w:lvl>
  </w:abstractNum>
  <w:abstractNum w:abstractNumId="3" w15:restartNumberingAfterBreak="0">
    <w:nsid w:val="4EA979F2"/>
    <w:multiLevelType w:val="hybridMultilevel"/>
    <w:tmpl w:val="2EDAD8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F903904"/>
    <w:multiLevelType w:val="hybridMultilevel"/>
    <w:tmpl w:val="1F4631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4AD343D"/>
    <w:multiLevelType w:val="hybridMultilevel"/>
    <w:tmpl w:val="9828A9A8"/>
    <w:lvl w:ilvl="0" w:tplc="1F324CC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15E2A7F"/>
    <w:multiLevelType w:val="hybridMultilevel"/>
    <w:tmpl w:val="2DA0A92C"/>
    <w:lvl w:ilvl="0" w:tplc="1F324CCE">
      <w:start w:val="1"/>
      <w:numFmt w:val="bullet"/>
      <w:lvlText w:val=""/>
      <w:lvlJc w:val="left"/>
      <w:pPr>
        <w:tabs>
          <w:tab w:val="num" w:pos="1776"/>
        </w:tabs>
        <w:ind w:left="1776" w:hanging="360"/>
      </w:pPr>
      <w:rPr>
        <w:rFonts w:ascii="Symbol" w:hAnsi="Symbol" w:hint="default"/>
      </w:rPr>
    </w:lvl>
    <w:lvl w:ilvl="1" w:tplc="07F20D4A" w:tentative="1">
      <w:start w:val="1"/>
      <w:numFmt w:val="bullet"/>
      <w:lvlText w:val="o"/>
      <w:lvlJc w:val="left"/>
      <w:pPr>
        <w:tabs>
          <w:tab w:val="num" w:pos="2496"/>
        </w:tabs>
        <w:ind w:left="2496" w:hanging="360"/>
      </w:pPr>
      <w:rPr>
        <w:rFonts w:ascii="Courier New" w:hAnsi="Courier New" w:hint="default"/>
      </w:rPr>
    </w:lvl>
    <w:lvl w:ilvl="2" w:tplc="2DA223F6" w:tentative="1">
      <w:start w:val="1"/>
      <w:numFmt w:val="bullet"/>
      <w:lvlText w:val=""/>
      <w:lvlJc w:val="left"/>
      <w:pPr>
        <w:tabs>
          <w:tab w:val="num" w:pos="3216"/>
        </w:tabs>
        <w:ind w:left="3216" w:hanging="360"/>
      </w:pPr>
      <w:rPr>
        <w:rFonts w:ascii="Wingdings" w:hAnsi="Wingdings" w:hint="default"/>
      </w:rPr>
    </w:lvl>
    <w:lvl w:ilvl="3" w:tplc="FEC43B0E" w:tentative="1">
      <w:start w:val="1"/>
      <w:numFmt w:val="bullet"/>
      <w:lvlText w:val=""/>
      <w:lvlJc w:val="left"/>
      <w:pPr>
        <w:tabs>
          <w:tab w:val="num" w:pos="3936"/>
        </w:tabs>
        <w:ind w:left="3936" w:hanging="360"/>
      </w:pPr>
      <w:rPr>
        <w:rFonts w:ascii="Symbol" w:hAnsi="Symbol" w:hint="default"/>
      </w:rPr>
    </w:lvl>
    <w:lvl w:ilvl="4" w:tplc="EFC28132" w:tentative="1">
      <w:start w:val="1"/>
      <w:numFmt w:val="bullet"/>
      <w:lvlText w:val="o"/>
      <w:lvlJc w:val="left"/>
      <w:pPr>
        <w:tabs>
          <w:tab w:val="num" w:pos="4656"/>
        </w:tabs>
        <w:ind w:left="4656" w:hanging="360"/>
      </w:pPr>
      <w:rPr>
        <w:rFonts w:ascii="Courier New" w:hAnsi="Courier New" w:hint="default"/>
      </w:rPr>
    </w:lvl>
    <w:lvl w:ilvl="5" w:tplc="FBA21190" w:tentative="1">
      <w:start w:val="1"/>
      <w:numFmt w:val="bullet"/>
      <w:lvlText w:val=""/>
      <w:lvlJc w:val="left"/>
      <w:pPr>
        <w:tabs>
          <w:tab w:val="num" w:pos="5376"/>
        </w:tabs>
        <w:ind w:left="5376" w:hanging="360"/>
      </w:pPr>
      <w:rPr>
        <w:rFonts w:ascii="Wingdings" w:hAnsi="Wingdings" w:hint="default"/>
      </w:rPr>
    </w:lvl>
    <w:lvl w:ilvl="6" w:tplc="3C86349A" w:tentative="1">
      <w:start w:val="1"/>
      <w:numFmt w:val="bullet"/>
      <w:lvlText w:val=""/>
      <w:lvlJc w:val="left"/>
      <w:pPr>
        <w:tabs>
          <w:tab w:val="num" w:pos="6096"/>
        </w:tabs>
        <w:ind w:left="6096" w:hanging="360"/>
      </w:pPr>
      <w:rPr>
        <w:rFonts w:ascii="Symbol" w:hAnsi="Symbol" w:hint="default"/>
      </w:rPr>
    </w:lvl>
    <w:lvl w:ilvl="7" w:tplc="4418D890" w:tentative="1">
      <w:start w:val="1"/>
      <w:numFmt w:val="bullet"/>
      <w:lvlText w:val="o"/>
      <w:lvlJc w:val="left"/>
      <w:pPr>
        <w:tabs>
          <w:tab w:val="num" w:pos="6816"/>
        </w:tabs>
        <w:ind w:left="6816" w:hanging="360"/>
      </w:pPr>
      <w:rPr>
        <w:rFonts w:ascii="Courier New" w:hAnsi="Courier New" w:hint="default"/>
      </w:rPr>
    </w:lvl>
    <w:lvl w:ilvl="8" w:tplc="9C92F5DA" w:tentative="1">
      <w:start w:val="1"/>
      <w:numFmt w:val="bullet"/>
      <w:lvlText w:val=""/>
      <w:lvlJc w:val="left"/>
      <w:pPr>
        <w:tabs>
          <w:tab w:val="num" w:pos="7536"/>
        </w:tabs>
        <w:ind w:left="7536" w:hanging="360"/>
      </w:pPr>
      <w:rPr>
        <w:rFonts w:ascii="Wingdings" w:hAnsi="Wingdings" w:hint="default"/>
      </w:rPr>
    </w:lvl>
  </w:abstractNum>
  <w:abstractNum w:abstractNumId="7" w15:restartNumberingAfterBreak="0">
    <w:nsid w:val="68E85CB1"/>
    <w:multiLevelType w:val="hybridMultilevel"/>
    <w:tmpl w:val="7098E3C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146F23"/>
    <w:multiLevelType w:val="hybridMultilevel"/>
    <w:tmpl w:val="097C382A"/>
    <w:lvl w:ilvl="0" w:tplc="AADC43D0">
      <w:start w:val="1"/>
      <w:numFmt w:val="decimal"/>
      <w:lvlText w:val="(%1)"/>
      <w:lvlJc w:val="left"/>
      <w:pPr>
        <w:tabs>
          <w:tab w:val="num" w:pos="644"/>
        </w:tabs>
        <w:ind w:left="644" w:hanging="360"/>
      </w:pPr>
      <w:rPr>
        <w:rFonts w:ascii="Arial" w:hAnsi="Arial" w:hint="default"/>
        <w:b w:val="0"/>
        <w:i w:val="0"/>
      </w:rPr>
    </w:lvl>
    <w:lvl w:ilvl="1" w:tplc="18061022">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6EFD1D69"/>
    <w:multiLevelType w:val="hybridMultilevel"/>
    <w:tmpl w:val="6D3AB516"/>
    <w:lvl w:ilvl="0" w:tplc="27DC76F8">
      <w:numFmt w:val="bullet"/>
      <w:lvlText w:val="•"/>
      <w:lvlJc w:val="left"/>
      <w:pPr>
        <w:ind w:left="1065" w:hanging="705"/>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0BE6797"/>
    <w:multiLevelType w:val="multilevel"/>
    <w:tmpl w:val="9DBCC6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76C818D6"/>
    <w:multiLevelType w:val="hybridMultilevel"/>
    <w:tmpl w:val="11CC3B26"/>
    <w:lvl w:ilvl="0" w:tplc="97CAB2D6">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num w:numId="1" w16cid:durableId="809513266">
    <w:abstractNumId w:val="8"/>
  </w:num>
  <w:num w:numId="2" w16cid:durableId="164133010">
    <w:abstractNumId w:val="10"/>
  </w:num>
  <w:num w:numId="3" w16cid:durableId="1708916794">
    <w:abstractNumId w:val="4"/>
  </w:num>
  <w:num w:numId="4" w16cid:durableId="1430662194">
    <w:abstractNumId w:val="7"/>
  </w:num>
  <w:num w:numId="5" w16cid:durableId="537595714">
    <w:abstractNumId w:val="6"/>
  </w:num>
  <w:num w:numId="6" w16cid:durableId="2139712910">
    <w:abstractNumId w:val="11"/>
  </w:num>
  <w:num w:numId="7" w16cid:durableId="1371344801">
    <w:abstractNumId w:val="3"/>
  </w:num>
  <w:num w:numId="8" w16cid:durableId="1616332537">
    <w:abstractNumId w:val="0"/>
  </w:num>
  <w:num w:numId="9" w16cid:durableId="874730634">
    <w:abstractNumId w:val="5"/>
  </w:num>
  <w:num w:numId="10" w16cid:durableId="1111587281">
    <w:abstractNumId w:val="9"/>
  </w:num>
  <w:num w:numId="11" w16cid:durableId="871529258">
    <w:abstractNumId w:val="1"/>
  </w:num>
  <w:num w:numId="12" w16cid:durableId="1451515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8B2"/>
    <w:rsid w:val="00153FCE"/>
    <w:rsid w:val="00220F73"/>
    <w:rsid w:val="00230415"/>
    <w:rsid w:val="00312030"/>
    <w:rsid w:val="003E4494"/>
    <w:rsid w:val="00544C5A"/>
    <w:rsid w:val="00606836"/>
    <w:rsid w:val="006A78B2"/>
    <w:rsid w:val="008378B2"/>
    <w:rsid w:val="008A04A3"/>
    <w:rsid w:val="008C55A9"/>
    <w:rsid w:val="00936224"/>
    <w:rsid w:val="009A48B8"/>
    <w:rsid w:val="00BC3153"/>
    <w:rsid w:val="00C41B84"/>
    <w:rsid w:val="00C71C7F"/>
    <w:rsid w:val="00D31034"/>
    <w:rsid w:val="00E716B2"/>
    <w:rsid w:val="00EF21C1"/>
    <w:rsid w:val="00F131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1EC8EA"/>
  <w15:docId w15:val="{1D40B58F-BA37-4DDA-B123-66CD2D104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ZapfHumnst BT" w:hAnsi="ZapfHumnst BT"/>
      <w:sz w:val="22"/>
      <w:szCs w:val="24"/>
    </w:rPr>
  </w:style>
  <w:style w:type="paragraph" w:styleId="berschrift1">
    <w:name w:val="heading 1"/>
    <w:basedOn w:val="Standard"/>
    <w:next w:val="Standard"/>
    <w:qFormat/>
    <w:pPr>
      <w:keepNext/>
      <w:spacing w:after="240" w:line="360" w:lineRule="auto"/>
      <w:outlineLvl w:val="0"/>
    </w:pPr>
    <w:rPr>
      <w:rFonts w:ascii="Arial" w:hAnsi="Arial"/>
      <w:b/>
      <w:szCs w:val="20"/>
    </w:rPr>
  </w:style>
  <w:style w:type="paragraph" w:styleId="berschrift2">
    <w:name w:val="heading 2"/>
    <w:basedOn w:val="Standard"/>
    <w:next w:val="Standard"/>
    <w:link w:val="berschrift2Zchn"/>
    <w:qFormat/>
    <w:pPr>
      <w:keepNext/>
      <w:spacing w:before="240" w:after="120"/>
      <w:outlineLvl w:val="1"/>
    </w:pPr>
    <w:rPr>
      <w:rFonts w:ascii="Arial" w:hAnsi="Arial"/>
      <w:b/>
      <w:bCs/>
      <w:sz w:val="20"/>
      <w:szCs w:val="20"/>
    </w:rPr>
  </w:style>
  <w:style w:type="paragraph" w:styleId="berschrift3">
    <w:name w:val="heading 3"/>
    <w:basedOn w:val="Standard"/>
    <w:next w:val="Standard"/>
    <w:qFormat/>
    <w:pPr>
      <w:keepNext/>
      <w:spacing w:line="360" w:lineRule="auto"/>
      <w:outlineLvl w:val="2"/>
    </w:pPr>
    <w:rPr>
      <w:rFonts w:ascii="Arial" w:hAnsi="Arial"/>
      <w:b/>
      <w:bCs/>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szCs w:val="20"/>
    </w:rPr>
  </w:style>
  <w:style w:type="paragraph" w:styleId="Fuzeile">
    <w:name w:val="footer"/>
    <w:basedOn w:val="Standard"/>
    <w:pPr>
      <w:tabs>
        <w:tab w:val="center" w:pos="4536"/>
        <w:tab w:val="right" w:pos="9072"/>
      </w:tabs>
    </w:pPr>
    <w:rPr>
      <w:rFonts w:ascii="Times New Roman" w:hAnsi="Times New Roman"/>
      <w:sz w:val="20"/>
      <w:szCs w:val="20"/>
    </w:rPr>
  </w:style>
  <w:style w:type="paragraph" w:styleId="Textkrper2">
    <w:name w:val="Body Text 2"/>
    <w:basedOn w:val="Standard"/>
    <w:pPr>
      <w:spacing w:line="360" w:lineRule="auto"/>
      <w:jc w:val="both"/>
    </w:pPr>
    <w:rPr>
      <w:rFonts w:ascii="Arial" w:hAnsi="Arial"/>
      <w:sz w:val="20"/>
      <w:szCs w:val="20"/>
    </w:rPr>
  </w:style>
  <w:style w:type="paragraph" w:styleId="Kopfzeile">
    <w:name w:val="header"/>
    <w:basedOn w:val="Standard"/>
    <w:link w:val="KopfzeileZchn"/>
    <w:uiPriority w:val="99"/>
    <w:pPr>
      <w:tabs>
        <w:tab w:val="center" w:pos="4536"/>
        <w:tab w:val="right" w:pos="9072"/>
      </w:tabs>
    </w:pPr>
    <w:rPr>
      <w:rFonts w:ascii="Times New Roman" w:hAnsi="Times New Roman"/>
      <w:sz w:val="20"/>
      <w:szCs w:val="20"/>
    </w:rPr>
  </w:style>
  <w:style w:type="paragraph" w:styleId="Textkrper3">
    <w:name w:val="Body Text 3"/>
    <w:basedOn w:val="Standard"/>
    <w:pPr>
      <w:jc w:val="both"/>
    </w:pPr>
    <w:rPr>
      <w:rFonts w:ascii="Arial" w:hAnsi="Arial"/>
    </w:rPr>
  </w:style>
  <w:style w:type="character" w:styleId="Seitenzahl">
    <w:name w:val="page number"/>
    <w:basedOn w:val="Absatz-Standardschriftart"/>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KopfzeileZchn">
    <w:name w:val="Kopfzeile Zchn"/>
    <w:link w:val="Kopfzeile"/>
    <w:uiPriority w:val="99"/>
  </w:style>
  <w:style w:type="paragraph" w:styleId="Sprechblasentext">
    <w:name w:val="Balloon Text"/>
    <w:basedOn w:val="Standard"/>
    <w:link w:val="SprechblasentextZchn"/>
    <w:rPr>
      <w:rFonts w:ascii="Tahoma" w:hAnsi="Tahoma" w:cs="Tahoma"/>
      <w:sz w:val="16"/>
      <w:szCs w:val="16"/>
    </w:rPr>
  </w:style>
  <w:style w:type="character" w:customStyle="1" w:styleId="SprechblasentextZchn">
    <w:name w:val="Sprechblasentext Zchn"/>
    <w:link w:val="Sprechblasentext"/>
    <w:rPr>
      <w:rFonts w:ascii="Tahoma" w:hAnsi="Tahoma" w:cs="Tahoma"/>
      <w:sz w:val="16"/>
      <w:szCs w:val="16"/>
    </w:rPr>
  </w:style>
  <w:style w:type="paragraph" w:customStyle="1" w:styleId="brieftext">
    <w:name w:val="brieftext"/>
    <w:basedOn w:val="Standard"/>
    <w:pPr>
      <w:spacing w:before="100" w:beforeAutospacing="1" w:after="100" w:afterAutospacing="1"/>
    </w:pPr>
    <w:rPr>
      <w:rFonts w:ascii="Arial Unicode MS" w:eastAsia="Arial Unicode MS" w:hAnsi="Arial Unicode MS" w:cs="Arial Unicode MS"/>
      <w:sz w:val="24"/>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Pr>
      <w:rFonts w:ascii="Calibri" w:hAnsi="Calibri"/>
      <w:sz w:val="22"/>
      <w:szCs w:val="22"/>
    </w:rPr>
  </w:style>
  <w:style w:type="character" w:customStyle="1" w:styleId="berschrift2Zchn">
    <w:name w:val="Überschrift 2 Zchn"/>
    <w:basedOn w:val="Absatz-Standardschriftart"/>
    <w:link w:val="berschrift2"/>
    <w:rsid w:val="00C71C7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901602">
      <w:bodyDiv w:val="1"/>
      <w:marLeft w:val="0"/>
      <w:marRight w:val="0"/>
      <w:marTop w:val="0"/>
      <w:marBottom w:val="0"/>
      <w:divBdr>
        <w:top w:val="none" w:sz="0" w:space="0" w:color="auto"/>
        <w:left w:val="none" w:sz="0" w:space="0" w:color="auto"/>
        <w:bottom w:val="none" w:sz="0" w:space="0" w:color="auto"/>
        <w:right w:val="none" w:sz="0" w:space="0" w:color="auto"/>
      </w:divBdr>
      <w:divsChild>
        <w:div w:id="240726515">
          <w:marLeft w:val="0"/>
          <w:marRight w:val="0"/>
          <w:marTop w:val="0"/>
          <w:marBottom w:val="0"/>
          <w:divBdr>
            <w:top w:val="none" w:sz="0" w:space="0" w:color="auto"/>
            <w:left w:val="none" w:sz="0" w:space="0" w:color="auto"/>
            <w:bottom w:val="none" w:sz="0" w:space="0" w:color="auto"/>
            <w:right w:val="none" w:sz="0" w:space="0" w:color="auto"/>
          </w:divBdr>
          <w:divsChild>
            <w:div w:id="1828084326">
              <w:marLeft w:val="0"/>
              <w:marRight w:val="165"/>
              <w:marTop w:val="0"/>
              <w:marBottom w:val="0"/>
              <w:divBdr>
                <w:top w:val="none" w:sz="0" w:space="0" w:color="auto"/>
                <w:left w:val="none" w:sz="0" w:space="0" w:color="auto"/>
                <w:bottom w:val="none" w:sz="0" w:space="0" w:color="auto"/>
                <w:right w:val="none" w:sz="0" w:space="0" w:color="auto"/>
              </w:divBdr>
              <w:divsChild>
                <w:div w:id="569315505">
                  <w:marLeft w:val="0"/>
                  <w:marRight w:val="0"/>
                  <w:marTop w:val="0"/>
                  <w:marBottom w:val="0"/>
                  <w:divBdr>
                    <w:top w:val="none" w:sz="0" w:space="0" w:color="auto"/>
                    <w:left w:val="none" w:sz="0" w:space="0" w:color="auto"/>
                    <w:bottom w:val="none" w:sz="0" w:space="0" w:color="auto"/>
                    <w:right w:val="none" w:sz="0" w:space="0" w:color="auto"/>
                  </w:divBdr>
                  <w:divsChild>
                    <w:div w:id="137844189">
                      <w:marLeft w:val="0"/>
                      <w:marRight w:val="0"/>
                      <w:marTop w:val="0"/>
                      <w:marBottom w:val="0"/>
                      <w:divBdr>
                        <w:top w:val="none" w:sz="0" w:space="0" w:color="auto"/>
                        <w:left w:val="none" w:sz="0" w:space="0" w:color="auto"/>
                        <w:bottom w:val="none" w:sz="0" w:space="0" w:color="auto"/>
                        <w:right w:val="none" w:sz="0" w:space="0" w:color="auto"/>
                      </w:divBdr>
                      <w:divsChild>
                        <w:div w:id="29263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313803">
      <w:bodyDiv w:val="1"/>
      <w:marLeft w:val="0"/>
      <w:marRight w:val="0"/>
      <w:marTop w:val="0"/>
      <w:marBottom w:val="0"/>
      <w:divBdr>
        <w:top w:val="none" w:sz="0" w:space="0" w:color="auto"/>
        <w:left w:val="none" w:sz="0" w:space="0" w:color="auto"/>
        <w:bottom w:val="none" w:sz="0" w:space="0" w:color="auto"/>
        <w:right w:val="none" w:sz="0" w:space="0" w:color="auto"/>
      </w:divBdr>
      <w:divsChild>
        <w:div w:id="605113065">
          <w:marLeft w:val="0"/>
          <w:marRight w:val="0"/>
          <w:marTop w:val="0"/>
          <w:marBottom w:val="0"/>
          <w:divBdr>
            <w:top w:val="none" w:sz="0" w:space="0" w:color="auto"/>
            <w:left w:val="none" w:sz="0" w:space="0" w:color="auto"/>
            <w:bottom w:val="none" w:sz="0" w:space="0" w:color="auto"/>
            <w:right w:val="none" w:sz="0" w:space="0" w:color="auto"/>
          </w:divBdr>
          <w:divsChild>
            <w:div w:id="214389226">
              <w:marLeft w:val="0"/>
              <w:marRight w:val="165"/>
              <w:marTop w:val="0"/>
              <w:marBottom w:val="0"/>
              <w:divBdr>
                <w:top w:val="none" w:sz="0" w:space="0" w:color="auto"/>
                <w:left w:val="none" w:sz="0" w:space="0" w:color="auto"/>
                <w:bottom w:val="none" w:sz="0" w:space="0" w:color="auto"/>
                <w:right w:val="none" w:sz="0" w:space="0" w:color="auto"/>
              </w:divBdr>
              <w:divsChild>
                <w:div w:id="1892769212">
                  <w:marLeft w:val="0"/>
                  <w:marRight w:val="0"/>
                  <w:marTop w:val="0"/>
                  <w:marBottom w:val="0"/>
                  <w:divBdr>
                    <w:top w:val="none" w:sz="0" w:space="0" w:color="auto"/>
                    <w:left w:val="none" w:sz="0" w:space="0" w:color="auto"/>
                    <w:bottom w:val="none" w:sz="0" w:space="0" w:color="auto"/>
                    <w:right w:val="none" w:sz="0" w:space="0" w:color="auto"/>
                  </w:divBdr>
                  <w:divsChild>
                    <w:div w:id="1354071862">
                      <w:marLeft w:val="0"/>
                      <w:marRight w:val="0"/>
                      <w:marTop w:val="0"/>
                      <w:marBottom w:val="0"/>
                      <w:divBdr>
                        <w:top w:val="none" w:sz="0" w:space="0" w:color="auto"/>
                        <w:left w:val="none" w:sz="0" w:space="0" w:color="auto"/>
                        <w:bottom w:val="none" w:sz="0" w:space="0" w:color="auto"/>
                        <w:right w:val="none" w:sz="0" w:space="0" w:color="auto"/>
                      </w:divBdr>
                      <w:divsChild>
                        <w:div w:id="123045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564</Words>
  <Characters>3556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ANLAGE  2 (a)</vt:lpstr>
    </vt:vector>
  </TitlesOfParts>
  <Company>Firma</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2 (a)</dc:title>
  <dc:creator>MAG</dc:creator>
  <cp:lastModifiedBy>Flender, Friedrich</cp:lastModifiedBy>
  <cp:revision>12</cp:revision>
  <cp:lastPrinted>2026-02-18T07:26:00Z</cp:lastPrinted>
  <dcterms:created xsi:type="dcterms:W3CDTF">2026-02-03T08:26:00Z</dcterms:created>
  <dcterms:modified xsi:type="dcterms:W3CDTF">2026-02-23T09:34:00Z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